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044096" w:rsidRDefault="006544C4" w:rsidP="00044096">
      <w:pPr>
        <w:jc w:val="center"/>
        <w:rPr>
          <w:lang w:val="fr-FR"/>
        </w:rPr>
      </w:pPr>
      <w:bookmarkStart w:id="0" w:name="_GoBack"/>
      <w:bookmarkEnd w:id="0"/>
    </w:p>
    <w:p w:rsidR="0094178F" w:rsidRPr="00044096" w:rsidRDefault="0094178F" w:rsidP="00044096">
      <w:pPr>
        <w:jc w:val="center"/>
        <w:rPr>
          <w:sz w:val="4"/>
          <w:szCs w:val="4"/>
          <w:lang w:val="fr-FR"/>
        </w:rPr>
      </w:pPr>
    </w:p>
    <w:p w:rsidR="006544C4" w:rsidRPr="00044096" w:rsidRDefault="002E1043" w:rsidP="00044096">
      <w:pPr>
        <w:pStyle w:val="DecHTitle"/>
        <w:rPr>
          <w:lang w:val="fr-FR"/>
        </w:rPr>
      </w:pPr>
      <w:r w:rsidRPr="00044096">
        <w:rPr>
          <w:szCs w:val="24"/>
          <w:lang w:val="fr-FR"/>
        </w:rPr>
        <w:t>PREMIÈRE SECTION</w:t>
      </w:r>
    </w:p>
    <w:p w:rsidR="006544C4" w:rsidRPr="00044096" w:rsidRDefault="006544C4" w:rsidP="00044096">
      <w:pPr>
        <w:pStyle w:val="DecHTitle"/>
        <w:rPr>
          <w:caps/>
          <w:sz w:val="32"/>
          <w:lang w:val="fr-FR"/>
        </w:rPr>
      </w:pPr>
      <w:r w:rsidRPr="00044096">
        <w:rPr>
          <w:lang w:val="fr-FR"/>
        </w:rPr>
        <w:t>DÉCISION</w:t>
      </w:r>
    </w:p>
    <w:p w:rsidR="006544C4" w:rsidRPr="00044096" w:rsidRDefault="002E1043" w:rsidP="00044096">
      <w:pPr>
        <w:pStyle w:val="ECHRTitleCentre2"/>
        <w:rPr>
          <w:lang w:val="fr-FR"/>
        </w:rPr>
      </w:pPr>
      <w:r w:rsidRPr="00044096">
        <w:rPr>
          <w:lang w:val="fr-FR"/>
        </w:rPr>
        <w:t>Requête n</w:t>
      </w:r>
      <w:r w:rsidRPr="00044096">
        <w:rPr>
          <w:vertAlign w:val="superscript"/>
          <w:lang w:val="fr-FR"/>
        </w:rPr>
        <w:t>o</w:t>
      </w:r>
      <w:r w:rsidR="006544C4" w:rsidRPr="00044096">
        <w:rPr>
          <w:lang w:val="fr-FR"/>
        </w:rPr>
        <w:t xml:space="preserve"> </w:t>
      </w:r>
      <w:r w:rsidRPr="00044096">
        <w:rPr>
          <w:lang w:val="fr-FR"/>
        </w:rPr>
        <w:t>3399/04</w:t>
      </w:r>
      <w:r w:rsidR="006544C4" w:rsidRPr="00044096">
        <w:rPr>
          <w:lang w:val="fr-FR"/>
        </w:rPr>
        <w:br/>
      </w:r>
      <w:proofErr w:type="spellStart"/>
      <w:r w:rsidRPr="00044096">
        <w:rPr>
          <w:lang w:val="fr-FR"/>
        </w:rPr>
        <w:t>Pasquale</w:t>
      </w:r>
      <w:proofErr w:type="spellEnd"/>
      <w:r w:rsidRPr="00044096">
        <w:rPr>
          <w:lang w:val="fr-FR"/>
        </w:rPr>
        <w:t xml:space="preserve"> IMPROTA et autres</w:t>
      </w:r>
      <w:r w:rsidRPr="00044096">
        <w:rPr>
          <w:lang w:val="fr-FR"/>
        </w:rPr>
        <w:br/>
      </w:r>
      <w:r w:rsidR="006544C4" w:rsidRPr="00044096">
        <w:rPr>
          <w:lang w:val="fr-FR"/>
        </w:rPr>
        <w:t xml:space="preserve">contre </w:t>
      </w:r>
      <w:r w:rsidRPr="00044096">
        <w:rPr>
          <w:lang w:val="fr-FR"/>
        </w:rPr>
        <w:t>l</w:t>
      </w:r>
      <w:r w:rsidR="00044096" w:rsidRPr="00044096">
        <w:rPr>
          <w:lang w:val="fr-FR"/>
        </w:rPr>
        <w:t>’</w:t>
      </w:r>
      <w:r w:rsidRPr="00044096">
        <w:rPr>
          <w:lang w:val="fr-FR"/>
        </w:rPr>
        <w:t>Italie</w:t>
      </w:r>
    </w:p>
    <w:p w:rsidR="002E1043" w:rsidRPr="00044096" w:rsidRDefault="002E1043" w:rsidP="00044096">
      <w:pPr>
        <w:pStyle w:val="ECHRPara"/>
        <w:rPr>
          <w:lang w:val="fr-FR"/>
        </w:rPr>
      </w:pPr>
      <w:r w:rsidRPr="00044096">
        <w:rPr>
          <w:lang w:val="fr-FR"/>
        </w:rPr>
        <w:t>La Cour européenne des droits de l</w:t>
      </w:r>
      <w:r w:rsidR="00044096" w:rsidRPr="00044096">
        <w:rPr>
          <w:lang w:val="fr-FR"/>
        </w:rPr>
        <w:t>’</w:t>
      </w:r>
      <w:r w:rsidRPr="00044096">
        <w:rPr>
          <w:lang w:val="fr-FR"/>
        </w:rPr>
        <w:t xml:space="preserve">homme (première section), siégeant le </w:t>
      </w:r>
      <w:r w:rsidR="00F95051" w:rsidRPr="00044096">
        <w:rPr>
          <w:lang w:val="fr-FR"/>
        </w:rPr>
        <w:t>7 mars 2017</w:t>
      </w:r>
      <w:r w:rsidRPr="00044096">
        <w:rPr>
          <w:lang w:val="fr-FR"/>
        </w:rPr>
        <w:t xml:space="preserve"> en un comité composé de :</w:t>
      </w:r>
    </w:p>
    <w:p w:rsidR="002E1043" w:rsidRPr="00044096" w:rsidRDefault="00F95051" w:rsidP="00044096">
      <w:pPr>
        <w:pStyle w:val="ECHRDecisionBody"/>
        <w:rPr>
          <w:lang w:val="fr-FR"/>
        </w:rPr>
      </w:pPr>
      <w:r w:rsidRPr="00044096">
        <w:rPr>
          <w:lang w:val="fr-FR"/>
        </w:rPr>
        <w:tab/>
        <w:t xml:space="preserve">Kristina </w:t>
      </w:r>
      <w:proofErr w:type="spellStart"/>
      <w:r w:rsidRPr="00044096">
        <w:rPr>
          <w:lang w:val="fr-FR"/>
        </w:rPr>
        <w:t>Pardalos</w:t>
      </w:r>
      <w:proofErr w:type="spellEnd"/>
      <w:r w:rsidRPr="00044096">
        <w:rPr>
          <w:lang w:val="fr-FR"/>
        </w:rPr>
        <w:t>,</w:t>
      </w:r>
      <w:r w:rsidRPr="00044096">
        <w:rPr>
          <w:i/>
          <w:lang w:val="fr-FR"/>
        </w:rPr>
        <w:t xml:space="preserve"> présidente,</w:t>
      </w:r>
      <w:r w:rsidRPr="00044096">
        <w:rPr>
          <w:i/>
          <w:lang w:val="fr-FR"/>
        </w:rPr>
        <w:br/>
      </w:r>
      <w:r w:rsidRPr="00044096">
        <w:rPr>
          <w:lang w:val="fr-FR"/>
        </w:rPr>
        <w:tab/>
        <w:t xml:space="preserve">Robert </w:t>
      </w:r>
      <w:proofErr w:type="spellStart"/>
      <w:r w:rsidRPr="00044096">
        <w:rPr>
          <w:lang w:val="fr-FR"/>
        </w:rPr>
        <w:t>Spano</w:t>
      </w:r>
      <w:proofErr w:type="spellEnd"/>
      <w:r w:rsidRPr="00044096">
        <w:rPr>
          <w:lang w:val="fr-FR"/>
        </w:rPr>
        <w:t>,</w:t>
      </w:r>
      <w:r w:rsidRPr="00044096">
        <w:rPr>
          <w:i/>
          <w:lang w:val="fr-FR"/>
        </w:rPr>
        <w:br/>
      </w:r>
      <w:r w:rsidRPr="00044096">
        <w:rPr>
          <w:lang w:val="fr-FR"/>
        </w:rPr>
        <w:tab/>
      </w:r>
      <w:proofErr w:type="spellStart"/>
      <w:r w:rsidRPr="00044096">
        <w:rPr>
          <w:lang w:val="fr-FR"/>
        </w:rPr>
        <w:t>Pauliine</w:t>
      </w:r>
      <w:proofErr w:type="spellEnd"/>
      <w:r w:rsidRPr="00044096">
        <w:rPr>
          <w:lang w:val="fr-FR"/>
        </w:rPr>
        <w:t xml:space="preserve"> </w:t>
      </w:r>
      <w:proofErr w:type="spellStart"/>
      <w:r w:rsidRPr="00044096">
        <w:rPr>
          <w:lang w:val="fr-FR"/>
        </w:rPr>
        <w:t>Koskelo</w:t>
      </w:r>
      <w:proofErr w:type="spellEnd"/>
      <w:r w:rsidRPr="00044096">
        <w:rPr>
          <w:lang w:val="fr-FR"/>
        </w:rPr>
        <w:t>,</w:t>
      </w:r>
      <w:r w:rsidRPr="00044096">
        <w:rPr>
          <w:i/>
          <w:lang w:val="fr-FR"/>
        </w:rPr>
        <w:t xml:space="preserve"> juges,</w:t>
      </w:r>
    </w:p>
    <w:p w:rsidR="002E1043" w:rsidRPr="00044096" w:rsidRDefault="002E1043" w:rsidP="00044096">
      <w:pPr>
        <w:pStyle w:val="ECHRPara"/>
        <w:ind w:firstLine="0"/>
        <w:rPr>
          <w:lang w:val="fr-FR"/>
        </w:rPr>
      </w:pPr>
      <w:r w:rsidRPr="00044096">
        <w:rPr>
          <w:lang w:val="fr-FR"/>
        </w:rPr>
        <w:t xml:space="preserve">et de Renata </w:t>
      </w:r>
      <w:proofErr w:type="spellStart"/>
      <w:r w:rsidRPr="00044096">
        <w:rPr>
          <w:lang w:val="fr-FR"/>
        </w:rPr>
        <w:t>Degener</w:t>
      </w:r>
      <w:proofErr w:type="spellEnd"/>
      <w:r w:rsidRPr="00044096">
        <w:rPr>
          <w:lang w:val="fr-FR"/>
        </w:rPr>
        <w:t xml:space="preserve">, </w:t>
      </w:r>
      <w:r w:rsidRPr="00044096">
        <w:rPr>
          <w:i/>
          <w:lang w:val="fr-FR"/>
        </w:rPr>
        <w:t>greffière adjointe de section</w:t>
      </w:r>
      <w:r w:rsidRPr="00044096">
        <w:rPr>
          <w:lang w:val="fr-FR"/>
        </w:rPr>
        <w:t>,</w:t>
      </w:r>
    </w:p>
    <w:p w:rsidR="002E1043" w:rsidRPr="00044096" w:rsidRDefault="002E1043" w:rsidP="00044096">
      <w:pPr>
        <w:pStyle w:val="ECHRPara"/>
        <w:rPr>
          <w:lang w:val="fr-FR"/>
        </w:rPr>
      </w:pPr>
      <w:r w:rsidRPr="00044096">
        <w:rPr>
          <w:lang w:val="fr-FR"/>
        </w:rPr>
        <w:t>Vu la requête susmentionnée introduite le 13 janvier 2004,</w:t>
      </w:r>
    </w:p>
    <w:p w:rsidR="002E1043" w:rsidRPr="00044096" w:rsidRDefault="002E1043" w:rsidP="00044096">
      <w:pPr>
        <w:pStyle w:val="ECHRPara"/>
        <w:rPr>
          <w:lang w:val="fr-FR"/>
        </w:rPr>
      </w:pPr>
      <w:r w:rsidRPr="00044096">
        <w:rPr>
          <w:lang w:val="fr-FR"/>
        </w:rPr>
        <w:t>Vu les observations soumises par le gouvernement défendeur et celles présentées en réponse par les requérants,</w:t>
      </w:r>
    </w:p>
    <w:p w:rsidR="002E1043" w:rsidRPr="00044096" w:rsidRDefault="002E1043" w:rsidP="00044096">
      <w:pPr>
        <w:pStyle w:val="ECHRPara"/>
        <w:rPr>
          <w:lang w:val="fr-FR"/>
        </w:rPr>
      </w:pPr>
      <w:r w:rsidRPr="00044096">
        <w:rPr>
          <w:lang w:val="fr-FR"/>
        </w:rPr>
        <w:t>Après en avoir délibéré, rend la décision suivante :</w:t>
      </w:r>
    </w:p>
    <w:p w:rsidR="002E1043" w:rsidRPr="00044096" w:rsidRDefault="002E1043" w:rsidP="00044096">
      <w:pPr>
        <w:pStyle w:val="ECHRTitle1"/>
        <w:rPr>
          <w:lang w:val="fr-FR"/>
        </w:rPr>
      </w:pPr>
      <w:r w:rsidRPr="00044096">
        <w:rPr>
          <w:lang w:val="fr-FR"/>
        </w:rPr>
        <w:t>EN FAIT</w:t>
      </w:r>
    </w:p>
    <w:p w:rsidR="002E1043" w:rsidRPr="00044096" w:rsidRDefault="002E1043" w:rsidP="00044096">
      <w:pPr>
        <w:pStyle w:val="ECHRPara"/>
        <w:rPr>
          <w:lang w:val="fr-FR"/>
        </w:rPr>
      </w:pPr>
      <w:r w:rsidRPr="00044096">
        <w:rPr>
          <w:lang w:val="fr-FR"/>
        </w:rPr>
        <w:t>La liste des parties requérantes figure en annexe.</w:t>
      </w:r>
    </w:p>
    <w:p w:rsidR="002E1043" w:rsidRPr="00044096" w:rsidRDefault="002E1043" w:rsidP="00044096">
      <w:pPr>
        <w:pStyle w:val="ECHRPara"/>
        <w:rPr>
          <w:lang w:val="fr-FR"/>
        </w:rPr>
      </w:pPr>
      <w:r w:rsidRPr="00044096">
        <w:rPr>
          <w:lang w:val="fr-FR"/>
        </w:rPr>
        <w:t>Le gouvernement italien (« le Gouvernement ») a été représenté, par son agent, M</w:t>
      </w:r>
      <w:r w:rsidRPr="00044096">
        <w:rPr>
          <w:vertAlign w:val="superscript"/>
          <w:lang w:val="fr-FR"/>
        </w:rPr>
        <w:t>me</w:t>
      </w:r>
      <w:r w:rsidRPr="00044096">
        <w:rPr>
          <w:lang w:val="fr-FR"/>
        </w:rPr>
        <w:t xml:space="preserve"> E. Spatafora, et par son </w:t>
      </w:r>
      <w:proofErr w:type="spellStart"/>
      <w:r w:rsidRPr="00044096">
        <w:rPr>
          <w:lang w:val="fr-FR"/>
        </w:rPr>
        <w:t>co</w:t>
      </w:r>
      <w:proofErr w:type="spellEnd"/>
      <w:r w:rsidRPr="00044096">
        <w:rPr>
          <w:lang w:val="fr-FR"/>
        </w:rPr>
        <w:t>-agent, M</w:t>
      </w:r>
      <w:r w:rsidRPr="00044096">
        <w:rPr>
          <w:vertAlign w:val="superscript"/>
          <w:lang w:val="fr-FR"/>
        </w:rPr>
        <w:t>me</w:t>
      </w:r>
      <w:r w:rsidRPr="00044096">
        <w:rPr>
          <w:lang w:val="fr-FR"/>
        </w:rPr>
        <w:t xml:space="preserve"> P. Accardo.</w:t>
      </w:r>
    </w:p>
    <w:p w:rsidR="002E1043" w:rsidRPr="00044096" w:rsidRDefault="002E1043" w:rsidP="00044096">
      <w:pPr>
        <w:pStyle w:val="ECHRHeading2"/>
        <w:rPr>
          <w:lang w:val="fr-FR"/>
        </w:rPr>
      </w:pPr>
      <w:r w:rsidRPr="00044096">
        <w:rPr>
          <w:lang w:val="fr-FR"/>
        </w:rPr>
        <w:t>Les circonstances de l</w:t>
      </w:r>
      <w:r w:rsidR="00044096" w:rsidRPr="00044096">
        <w:rPr>
          <w:lang w:val="fr-FR"/>
        </w:rPr>
        <w:t>’</w:t>
      </w:r>
      <w:r w:rsidRPr="00044096">
        <w:rPr>
          <w:lang w:val="fr-FR"/>
        </w:rPr>
        <w:t>espèce</w:t>
      </w:r>
    </w:p>
    <w:p w:rsidR="002E1043" w:rsidRPr="00044096" w:rsidRDefault="002E1043" w:rsidP="00044096">
      <w:pPr>
        <w:pStyle w:val="ECHRPara"/>
        <w:rPr>
          <w:lang w:val="fr-FR"/>
        </w:rPr>
      </w:pPr>
      <w:r w:rsidRPr="00044096">
        <w:rPr>
          <w:lang w:val="fr-FR"/>
        </w:rPr>
        <w:t>Les faits de la cause, tels qu</w:t>
      </w:r>
      <w:r w:rsidR="00044096" w:rsidRPr="00044096">
        <w:rPr>
          <w:lang w:val="fr-FR"/>
        </w:rPr>
        <w:t>’</w:t>
      </w:r>
      <w:r w:rsidRPr="00044096">
        <w:rPr>
          <w:lang w:val="fr-FR"/>
        </w:rPr>
        <w:t>ils ont été exposés par les parties, peuvent se résumer comme suit.</w:t>
      </w:r>
    </w:p>
    <w:p w:rsidR="002E1043" w:rsidRPr="00044096" w:rsidRDefault="002E1043" w:rsidP="00044096">
      <w:pPr>
        <w:pStyle w:val="ECHRPara"/>
        <w:rPr>
          <w:lang w:val="fr-FR"/>
        </w:rPr>
      </w:pPr>
      <w:r w:rsidRPr="00044096">
        <w:rPr>
          <w:lang w:val="fr-FR"/>
        </w:rPr>
        <w:t xml:space="preserve">M. Salvatore </w:t>
      </w:r>
      <w:proofErr w:type="spellStart"/>
      <w:r w:rsidRPr="00044096">
        <w:rPr>
          <w:lang w:val="fr-FR"/>
        </w:rPr>
        <w:t>Improta</w:t>
      </w:r>
      <w:proofErr w:type="spellEnd"/>
      <w:r w:rsidRPr="00044096">
        <w:rPr>
          <w:lang w:val="fr-FR"/>
        </w:rPr>
        <w:t xml:space="preserve">, </w:t>
      </w:r>
      <w:r w:rsidRPr="00044096">
        <w:rPr>
          <w:i/>
          <w:lang w:val="fr-FR"/>
        </w:rPr>
        <w:t>de cujus</w:t>
      </w:r>
      <w:r w:rsidRPr="00044096">
        <w:rPr>
          <w:lang w:val="fr-FR"/>
        </w:rPr>
        <w:t xml:space="preserve"> des requérants, était propriétaire, avec trois autres personnes, d</w:t>
      </w:r>
      <w:r w:rsidR="00044096" w:rsidRPr="00044096">
        <w:rPr>
          <w:lang w:val="fr-FR"/>
        </w:rPr>
        <w:t>’</w:t>
      </w:r>
      <w:r w:rsidRPr="00044096">
        <w:rPr>
          <w:lang w:val="fr-FR"/>
        </w:rPr>
        <w:t>un terrain sis à Naples.</w:t>
      </w:r>
    </w:p>
    <w:p w:rsidR="002E1043" w:rsidRPr="00044096" w:rsidRDefault="002E1043" w:rsidP="00044096">
      <w:pPr>
        <w:pStyle w:val="ECHRPara"/>
        <w:rPr>
          <w:lang w:val="fr-FR"/>
        </w:rPr>
      </w:pPr>
      <w:r w:rsidRPr="00044096">
        <w:rPr>
          <w:lang w:val="fr-FR"/>
        </w:rPr>
        <w:t>Par des arrêtés du 27 août 1981, la municipalité de Naples autorisa l</w:t>
      </w:r>
      <w:r w:rsidR="00044096" w:rsidRPr="00044096">
        <w:rPr>
          <w:lang w:val="fr-FR"/>
        </w:rPr>
        <w:t>’</w:t>
      </w:r>
      <w:r w:rsidRPr="00044096">
        <w:rPr>
          <w:lang w:val="fr-FR"/>
        </w:rPr>
        <w:t>occupation d</w:t>
      </w:r>
      <w:r w:rsidR="00044096" w:rsidRPr="00044096">
        <w:rPr>
          <w:lang w:val="fr-FR"/>
        </w:rPr>
        <w:t>’</w:t>
      </w:r>
      <w:r w:rsidRPr="00044096">
        <w:rPr>
          <w:lang w:val="fr-FR"/>
        </w:rPr>
        <w:t>urgence dudit terrain en vue d</w:t>
      </w:r>
      <w:r w:rsidR="00044096" w:rsidRPr="00044096">
        <w:rPr>
          <w:lang w:val="fr-FR"/>
        </w:rPr>
        <w:t>’</w:t>
      </w:r>
      <w:r w:rsidRPr="00044096">
        <w:rPr>
          <w:lang w:val="fr-FR"/>
        </w:rPr>
        <w:t>y aménager des logements d</w:t>
      </w:r>
      <w:r w:rsidR="00044096" w:rsidRPr="00044096">
        <w:rPr>
          <w:lang w:val="fr-FR"/>
        </w:rPr>
        <w:t>’</w:t>
      </w:r>
      <w:r w:rsidRPr="00044096">
        <w:rPr>
          <w:lang w:val="fr-FR"/>
        </w:rPr>
        <w:t>urgence pour héberger les victimes d</w:t>
      </w:r>
      <w:r w:rsidR="00044096" w:rsidRPr="00044096">
        <w:rPr>
          <w:lang w:val="fr-FR"/>
        </w:rPr>
        <w:t>’</w:t>
      </w:r>
      <w:r w:rsidRPr="00044096">
        <w:rPr>
          <w:lang w:val="fr-FR"/>
        </w:rPr>
        <w:t>un séisme.</w:t>
      </w:r>
    </w:p>
    <w:p w:rsidR="002E1043" w:rsidRPr="00044096" w:rsidRDefault="002E1043" w:rsidP="00044096">
      <w:pPr>
        <w:pStyle w:val="ECHRPara"/>
        <w:rPr>
          <w:lang w:val="fr-FR"/>
        </w:rPr>
      </w:pPr>
      <w:r w:rsidRPr="00044096">
        <w:rPr>
          <w:lang w:val="fr-FR"/>
        </w:rPr>
        <w:lastRenderedPageBreak/>
        <w:t>Le terrain fut occupé le 30 septembre 1981. Une partie du terrain fut consacrée à la réalisation de logements temporaires, tandis que l</w:t>
      </w:r>
      <w:r w:rsidR="00044096" w:rsidRPr="00044096">
        <w:rPr>
          <w:lang w:val="fr-FR"/>
        </w:rPr>
        <w:t>’</w:t>
      </w:r>
      <w:r w:rsidRPr="00044096">
        <w:rPr>
          <w:lang w:val="fr-FR"/>
        </w:rPr>
        <w:t>autre partie, mesurant 3072 mètres carrés, fut transformée par la construction d</w:t>
      </w:r>
      <w:r w:rsidR="00044096" w:rsidRPr="00044096">
        <w:rPr>
          <w:lang w:val="fr-FR"/>
        </w:rPr>
        <w:t>’</w:t>
      </w:r>
      <w:r w:rsidRPr="00044096">
        <w:rPr>
          <w:lang w:val="fr-FR"/>
        </w:rPr>
        <w:t>une route.</w:t>
      </w:r>
    </w:p>
    <w:p w:rsidR="002E1043" w:rsidRPr="00044096" w:rsidRDefault="002E1043" w:rsidP="00044096">
      <w:pPr>
        <w:pStyle w:val="ECHRPara"/>
        <w:rPr>
          <w:lang w:val="fr-FR"/>
        </w:rPr>
      </w:pPr>
      <w:r w:rsidRPr="00044096">
        <w:rPr>
          <w:lang w:val="fr-FR"/>
        </w:rPr>
        <w:t>Les copropriétaires furent indemnisés pour l</w:t>
      </w:r>
      <w:r w:rsidR="00044096" w:rsidRPr="00044096">
        <w:rPr>
          <w:lang w:val="fr-FR"/>
        </w:rPr>
        <w:t>’</w:t>
      </w:r>
      <w:r w:rsidRPr="00044096">
        <w:rPr>
          <w:lang w:val="fr-FR"/>
        </w:rPr>
        <w:t>occupation du terrain jusqu</w:t>
      </w:r>
      <w:r w:rsidR="00044096" w:rsidRPr="00044096">
        <w:rPr>
          <w:lang w:val="fr-FR"/>
        </w:rPr>
        <w:t>’</w:t>
      </w:r>
      <w:r w:rsidRPr="00044096">
        <w:rPr>
          <w:lang w:val="fr-FR"/>
        </w:rPr>
        <w:t>au 31 décembre 1985.</w:t>
      </w:r>
    </w:p>
    <w:p w:rsidR="002E1043" w:rsidRPr="00044096" w:rsidRDefault="002E1043" w:rsidP="00044096">
      <w:pPr>
        <w:pStyle w:val="ECHRPara"/>
        <w:rPr>
          <w:lang w:val="fr-FR"/>
        </w:rPr>
      </w:pPr>
      <w:r w:rsidRPr="00044096">
        <w:rPr>
          <w:lang w:val="fr-FR"/>
        </w:rPr>
        <w:t>Suite à la démolition des logements temporaires, à une date qui n</w:t>
      </w:r>
      <w:r w:rsidR="00044096" w:rsidRPr="00044096">
        <w:rPr>
          <w:lang w:val="fr-FR"/>
        </w:rPr>
        <w:t>’</w:t>
      </w:r>
      <w:r w:rsidRPr="00044096">
        <w:rPr>
          <w:lang w:val="fr-FR"/>
        </w:rPr>
        <w:t>a pas été précisée, la première partie du terrain fut restituée aux propriétaires. En revanche, la partie du terrain transformée par l</w:t>
      </w:r>
      <w:r w:rsidR="00044096" w:rsidRPr="00044096">
        <w:rPr>
          <w:lang w:val="fr-FR"/>
        </w:rPr>
        <w:t>’</w:t>
      </w:r>
      <w:r w:rsidRPr="00044096">
        <w:rPr>
          <w:lang w:val="fr-FR"/>
        </w:rPr>
        <w:t>ouvrage public ne fut ni restituée, ni régulièrement expropriée par la municipalité.</w:t>
      </w:r>
    </w:p>
    <w:p w:rsidR="002E1043" w:rsidRPr="00044096" w:rsidRDefault="002E1043" w:rsidP="00044096">
      <w:pPr>
        <w:pStyle w:val="ECHRPara"/>
        <w:rPr>
          <w:lang w:val="fr-FR"/>
        </w:rPr>
      </w:pPr>
      <w:r w:rsidRPr="00044096">
        <w:rPr>
          <w:lang w:val="fr-FR"/>
        </w:rPr>
        <w:t>Par un acte du 29 novembre 1989, les copropriétaires assignèrent la présidence du Conseil des Ministres et la municipalité de Naples devant le tribunal de Naples demandant la restitution de la deuxième partie du terrain ainsi qu</w:t>
      </w:r>
      <w:r w:rsidR="00044096" w:rsidRPr="00044096">
        <w:rPr>
          <w:lang w:val="fr-FR"/>
        </w:rPr>
        <w:t>’</w:t>
      </w:r>
      <w:r w:rsidRPr="00044096">
        <w:rPr>
          <w:lang w:val="fr-FR"/>
        </w:rPr>
        <w:t>une indemnisation d</w:t>
      </w:r>
      <w:r w:rsidR="00044096" w:rsidRPr="00044096">
        <w:rPr>
          <w:lang w:val="fr-FR"/>
        </w:rPr>
        <w:t>’</w:t>
      </w:r>
      <w:r w:rsidRPr="00044096">
        <w:rPr>
          <w:lang w:val="fr-FR"/>
        </w:rPr>
        <w:t>occupation à compter du 1</w:t>
      </w:r>
      <w:r w:rsidRPr="00044096">
        <w:rPr>
          <w:vertAlign w:val="superscript"/>
          <w:lang w:val="fr-FR"/>
        </w:rPr>
        <w:t>er</w:t>
      </w:r>
      <w:r w:rsidRPr="00044096">
        <w:rPr>
          <w:lang w:val="fr-FR"/>
        </w:rPr>
        <w:t xml:space="preserve"> janvier 1986.</w:t>
      </w:r>
    </w:p>
    <w:p w:rsidR="002E1043" w:rsidRPr="00044096" w:rsidRDefault="002E1043" w:rsidP="00044096">
      <w:pPr>
        <w:pStyle w:val="ECHRPara"/>
        <w:rPr>
          <w:lang w:val="fr-FR"/>
        </w:rPr>
      </w:pPr>
      <w:r w:rsidRPr="00044096">
        <w:rPr>
          <w:lang w:val="fr-FR"/>
        </w:rPr>
        <w:t>Par un jugement du 13 décembre 1996, le tribunal affirma la responsabilité exclusive de la présidence du Conseil des Ministres et condamna celle-ci à restituer aux copropriétaires le terrain litigieux, après avoir détruit l</w:t>
      </w:r>
      <w:r w:rsidR="00044096" w:rsidRPr="00044096">
        <w:rPr>
          <w:lang w:val="fr-FR"/>
        </w:rPr>
        <w:t>’</w:t>
      </w:r>
      <w:r w:rsidRPr="00044096">
        <w:rPr>
          <w:lang w:val="fr-FR"/>
        </w:rPr>
        <w:t xml:space="preserve">ouvrage public, et à payer 595 675 617 lires italiennes, soit </w:t>
      </w:r>
      <w:r w:rsidRPr="00044096">
        <w:rPr>
          <w:bCs/>
          <w:color w:val="000000"/>
          <w:szCs w:val="24"/>
          <w:lang w:val="fr-FR"/>
        </w:rPr>
        <w:t>307 640,78 EUR, à titre d</w:t>
      </w:r>
      <w:r w:rsidR="00044096" w:rsidRPr="00044096">
        <w:rPr>
          <w:bCs/>
          <w:color w:val="000000"/>
          <w:szCs w:val="24"/>
          <w:lang w:val="fr-FR"/>
        </w:rPr>
        <w:t>’</w:t>
      </w:r>
      <w:r w:rsidRPr="00044096">
        <w:rPr>
          <w:lang w:val="fr-FR"/>
        </w:rPr>
        <w:t>indemnisation d</w:t>
      </w:r>
      <w:r w:rsidR="00044096" w:rsidRPr="00044096">
        <w:rPr>
          <w:lang w:val="fr-FR"/>
        </w:rPr>
        <w:t>’</w:t>
      </w:r>
      <w:r w:rsidRPr="00044096">
        <w:rPr>
          <w:lang w:val="fr-FR"/>
        </w:rPr>
        <w:t>occupation à compter du 1</w:t>
      </w:r>
      <w:r w:rsidRPr="00044096">
        <w:rPr>
          <w:vertAlign w:val="superscript"/>
          <w:lang w:val="fr-FR"/>
        </w:rPr>
        <w:t>er</w:t>
      </w:r>
      <w:r w:rsidRPr="00044096">
        <w:rPr>
          <w:lang w:val="fr-FR"/>
        </w:rPr>
        <w:t> janvier 1986.</w:t>
      </w:r>
    </w:p>
    <w:p w:rsidR="002E1043" w:rsidRPr="00044096" w:rsidRDefault="002E1043" w:rsidP="00044096">
      <w:pPr>
        <w:pStyle w:val="ECHRPara"/>
        <w:rPr>
          <w:lang w:val="fr-FR"/>
        </w:rPr>
      </w:pPr>
      <w:r w:rsidRPr="00044096">
        <w:rPr>
          <w:lang w:val="fr-FR"/>
        </w:rPr>
        <w:t>La présidence du Conseil des Ministres interjeta appel contestant sa responsabilité en l</w:t>
      </w:r>
      <w:r w:rsidR="00044096" w:rsidRPr="00044096">
        <w:rPr>
          <w:lang w:val="fr-FR"/>
        </w:rPr>
        <w:t>’</w:t>
      </w:r>
      <w:r w:rsidRPr="00044096">
        <w:rPr>
          <w:lang w:val="fr-FR"/>
        </w:rPr>
        <w:t>espèce. Par un arrêt du 29 janvier 1999, la cour d</w:t>
      </w:r>
      <w:r w:rsidR="00044096" w:rsidRPr="00044096">
        <w:rPr>
          <w:lang w:val="fr-FR"/>
        </w:rPr>
        <w:t>’</w:t>
      </w:r>
      <w:r w:rsidRPr="00044096">
        <w:rPr>
          <w:lang w:val="fr-FR"/>
        </w:rPr>
        <w:t>appel de Naples accueillit l</w:t>
      </w:r>
      <w:r w:rsidR="00044096" w:rsidRPr="00044096">
        <w:rPr>
          <w:lang w:val="fr-FR"/>
        </w:rPr>
        <w:t>’</w:t>
      </w:r>
      <w:r w:rsidRPr="00044096">
        <w:rPr>
          <w:lang w:val="fr-FR"/>
        </w:rPr>
        <w:t>appel de l</w:t>
      </w:r>
      <w:r w:rsidR="00044096" w:rsidRPr="00044096">
        <w:rPr>
          <w:lang w:val="fr-FR"/>
        </w:rPr>
        <w:t>’</w:t>
      </w:r>
      <w:r w:rsidRPr="00044096">
        <w:rPr>
          <w:lang w:val="fr-FR"/>
        </w:rPr>
        <w:t>administration et affirma la responsabilité exclusive de la municipalité de Naples. Cependant, elle ne se prononça pas sur la condamnation de la municipalité, les intéressés ayant omis d</w:t>
      </w:r>
      <w:r w:rsidR="00044096" w:rsidRPr="00044096">
        <w:rPr>
          <w:lang w:val="fr-FR"/>
        </w:rPr>
        <w:t>’</w:t>
      </w:r>
      <w:r w:rsidRPr="00044096">
        <w:rPr>
          <w:lang w:val="fr-FR"/>
        </w:rPr>
        <w:t>introduire une demande sur ce point en appel. La cour d</w:t>
      </w:r>
      <w:r w:rsidR="00044096" w:rsidRPr="00044096">
        <w:rPr>
          <w:lang w:val="fr-FR"/>
        </w:rPr>
        <w:t>’</w:t>
      </w:r>
      <w:r w:rsidRPr="00044096">
        <w:rPr>
          <w:lang w:val="fr-FR"/>
        </w:rPr>
        <w:t>appel confirma néanmoins le jugement de première instance quant au fond, à savoir la reconnaissance du droit des demandeurs à obtenir la restitution du bien et le paiement d</w:t>
      </w:r>
      <w:r w:rsidR="00044096" w:rsidRPr="00044096">
        <w:rPr>
          <w:lang w:val="fr-FR"/>
        </w:rPr>
        <w:t>’</w:t>
      </w:r>
      <w:r w:rsidRPr="00044096">
        <w:rPr>
          <w:lang w:val="fr-FR"/>
        </w:rPr>
        <w:t>une indemnisation.</w:t>
      </w:r>
    </w:p>
    <w:p w:rsidR="002E1043" w:rsidRPr="00044096" w:rsidRDefault="002E1043" w:rsidP="00044096">
      <w:pPr>
        <w:pStyle w:val="ECHRPara"/>
        <w:rPr>
          <w:lang w:val="fr-FR"/>
        </w:rPr>
      </w:pPr>
      <w:r w:rsidRPr="00044096">
        <w:rPr>
          <w:lang w:val="fr-FR"/>
        </w:rPr>
        <w:t>L</w:t>
      </w:r>
      <w:r w:rsidR="00044096" w:rsidRPr="00044096">
        <w:rPr>
          <w:lang w:val="fr-FR"/>
        </w:rPr>
        <w:t>’</w:t>
      </w:r>
      <w:r w:rsidRPr="00044096">
        <w:rPr>
          <w:lang w:val="fr-FR"/>
        </w:rPr>
        <w:t>arrêt de la cour d</w:t>
      </w:r>
      <w:r w:rsidR="00044096" w:rsidRPr="00044096">
        <w:rPr>
          <w:lang w:val="fr-FR"/>
        </w:rPr>
        <w:t>’</w:t>
      </w:r>
      <w:r w:rsidRPr="00044096">
        <w:rPr>
          <w:lang w:val="fr-FR"/>
        </w:rPr>
        <w:t>appel ne fut pas attaqué et acquit l</w:t>
      </w:r>
      <w:r w:rsidR="00044096" w:rsidRPr="00044096">
        <w:rPr>
          <w:lang w:val="fr-FR"/>
        </w:rPr>
        <w:t>’</w:t>
      </w:r>
      <w:r w:rsidRPr="00044096">
        <w:rPr>
          <w:lang w:val="fr-FR"/>
        </w:rPr>
        <w:t>autorité de la chose jugée.</w:t>
      </w:r>
    </w:p>
    <w:p w:rsidR="002E1043" w:rsidRPr="00044096" w:rsidRDefault="002E1043" w:rsidP="00044096">
      <w:pPr>
        <w:pStyle w:val="ECHRPara"/>
        <w:rPr>
          <w:lang w:val="fr-FR"/>
        </w:rPr>
      </w:pPr>
      <w:r w:rsidRPr="00044096">
        <w:rPr>
          <w:lang w:val="fr-FR"/>
        </w:rPr>
        <w:t xml:space="preserve">Suite au décès de leur </w:t>
      </w:r>
      <w:r w:rsidRPr="00044096">
        <w:rPr>
          <w:i/>
          <w:lang w:val="fr-FR"/>
        </w:rPr>
        <w:t>de cujus</w:t>
      </w:r>
      <w:r w:rsidRPr="00044096">
        <w:rPr>
          <w:lang w:val="fr-FR"/>
        </w:rPr>
        <w:t>, les requérants et les autres copropriétaires essayèrent d</w:t>
      </w:r>
      <w:r w:rsidR="00044096" w:rsidRPr="00044096">
        <w:rPr>
          <w:lang w:val="fr-FR"/>
        </w:rPr>
        <w:t>’</w:t>
      </w:r>
      <w:r w:rsidRPr="00044096">
        <w:rPr>
          <w:lang w:val="fr-FR"/>
        </w:rPr>
        <w:t>obtenir l</w:t>
      </w:r>
      <w:r w:rsidR="00044096" w:rsidRPr="00044096">
        <w:rPr>
          <w:lang w:val="fr-FR"/>
        </w:rPr>
        <w:t>’</w:t>
      </w:r>
      <w:r w:rsidRPr="00044096">
        <w:rPr>
          <w:lang w:val="fr-FR"/>
        </w:rPr>
        <w:t>exécution de l</w:t>
      </w:r>
      <w:r w:rsidR="00044096" w:rsidRPr="00044096">
        <w:rPr>
          <w:lang w:val="fr-FR"/>
        </w:rPr>
        <w:t>’</w:t>
      </w:r>
      <w:r w:rsidRPr="00044096">
        <w:rPr>
          <w:lang w:val="fr-FR"/>
        </w:rPr>
        <w:t>arrêt de la cour d</w:t>
      </w:r>
      <w:r w:rsidR="00044096" w:rsidRPr="00044096">
        <w:rPr>
          <w:lang w:val="fr-FR"/>
        </w:rPr>
        <w:t>’</w:t>
      </w:r>
      <w:r w:rsidRPr="00044096">
        <w:rPr>
          <w:lang w:val="fr-FR"/>
        </w:rPr>
        <w:t>appel et demandèrent à plusieurs reprises la restitution de leur terrain et le paiement de l</w:t>
      </w:r>
      <w:r w:rsidR="00044096" w:rsidRPr="00044096">
        <w:rPr>
          <w:lang w:val="fr-FR"/>
        </w:rPr>
        <w:t>’</w:t>
      </w:r>
      <w:r w:rsidRPr="00044096">
        <w:rPr>
          <w:lang w:val="fr-FR"/>
        </w:rPr>
        <w:t xml:space="preserve">indemnité auprès de la municipalité de Naples. </w:t>
      </w:r>
      <w:r w:rsidR="00E1670C" w:rsidRPr="00044096">
        <w:rPr>
          <w:lang w:val="fr-FR"/>
        </w:rPr>
        <w:t>À</w:t>
      </w:r>
      <w:r w:rsidRPr="00044096">
        <w:rPr>
          <w:lang w:val="fr-FR"/>
        </w:rPr>
        <w:t xml:space="preserve"> défaut de restitution, ils sollicitèrent l</w:t>
      </w:r>
      <w:r w:rsidR="00044096" w:rsidRPr="00044096">
        <w:rPr>
          <w:lang w:val="fr-FR"/>
        </w:rPr>
        <w:t>’</w:t>
      </w:r>
      <w:r w:rsidRPr="00044096">
        <w:rPr>
          <w:lang w:val="fr-FR"/>
        </w:rPr>
        <w:t>expropriation régulière de leur terrain ou l</w:t>
      </w:r>
      <w:r w:rsidR="00044096" w:rsidRPr="00044096">
        <w:rPr>
          <w:lang w:val="fr-FR"/>
        </w:rPr>
        <w:t>’</w:t>
      </w:r>
      <w:r w:rsidRPr="00044096">
        <w:rPr>
          <w:lang w:val="fr-FR"/>
        </w:rPr>
        <w:t>acquisition de celui-ci au patrimoine de la municipalité.</w:t>
      </w:r>
    </w:p>
    <w:p w:rsidR="002E1043" w:rsidRPr="00044096" w:rsidRDefault="002E1043" w:rsidP="00044096">
      <w:pPr>
        <w:pStyle w:val="ECHRPara"/>
        <w:rPr>
          <w:lang w:val="fr-FR"/>
        </w:rPr>
      </w:pPr>
      <w:r w:rsidRPr="00044096">
        <w:rPr>
          <w:lang w:val="fr-FR"/>
        </w:rPr>
        <w:t>Par un jugement du 11 janvier 2012, le tribunal administratif de Naples (le « TAR ») accueillit un recours introduit par les copropriétaires du terrain et visant à contester la légitimité du « silence-refus » (« </w:t>
      </w:r>
      <w:bookmarkStart w:id="1" w:name="HIT3"/>
      <w:bookmarkEnd w:id="1"/>
      <w:proofErr w:type="spellStart"/>
      <w:r w:rsidRPr="00044096">
        <w:rPr>
          <w:bCs/>
          <w:i/>
          <w:iCs/>
          <w:lang w:val="fr-FR"/>
        </w:rPr>
        <w:t>silenzio</w:t>
      </w:r>
      <w:proofErr w:type="spellEnd"/>
      <w:r w:rsidRPr="00044096">
        <w:rPr>
          <w:i/>
          <w:iCs/>
          <w:lang w:val="fr-FR"/>
        </w:rPr>
        <w:t xml:space="preserve"> </w:t>
      </w:r>
      <w:proofErr w:type="spellStart"/>
      <w:r w:rsidRPr="00044096">
        <w:rPr>
          <w:i/>
          <w:iCs/>
          <w:lang w:val="fr-FR"/>
        </w:rPr>
        <w:t>rifiuto</w:t>
      </w:r>
      <w:proofErr w:type="spellEnd"/>
      <w:r w:rsidRPr="00044096">
        <w:rPr>
          <w:lang w:val="fr-FR"/>
        </w:rPr>
        <w:t> ») de l</w:t>
      </w:r>
      <w:r w:rsidR="00044096" w:rsidRPr="00044096">
        <w:rPr>
          <w:lang w:val="fr-FR"/>
        </w:rPr>
        <w:t>’</w:t>
      </w:r>
      <w:r w:rsidRPr="00044096">
        <w:rPr>
          <w:lang w:val="fr-FR"/>
        </w:rPr>
        <w:t xml:space="preserve">administration. Le TAR ordonna à la municipalité de Naples de prendre une décision concernant le terrain des requérants et nomma un </w:t>
      </w:r>
      <w:r w:rsidRPr="00044096">
        <w:rPr>
          <w:i/>
          <w:lang w:val="fr-FR"/>
        </w:rPr>
        <w:t>commissaire ad acta</w:t>
      </w:r>
      <w:r w:rsidRPr="00044096">
        <w:rPr>
          <w:lang w:val="fr-FR"/>
        </w:rPr>
        <w:t xml:space="preserve"> lequel était censé agir au cas où la ville défenderesse ne déciderait pas dans les 30 jours malgré l</w:t>
      </w:r>
      <w:r w:rsidR="00044096" w:rsidRPr="00044096">
        <w:rPr>
          <w:lang w:val="fr-FR"/>
        </w:rPr>
        <w:t>’</w:t>
      </w:r>
      <w:r w:rsidRPr="00044096">
        <w:rPr>
          <w:lang w:val="fr-FR"/>
        </w:rPr>
        <w:t>ordre du tribunal.</w:t>
      </w:r>
    </w:p>
    <w:p w:rsidR="002E1043" w:rsidRPr="00044096" w:rsidRDefault="002E1043" w:rsidP="00044096">
      <w:pPr>
        <w:pStyle w:val="ECHRPara"/>
        <w:rPr>
          <w:lang w:val="fr-FR"/>
        </w:rPr>
      </w:pPr>
      <w:r w:rsidRPr="00044096">
        <w:rPr>
          <w:lang w:val="fr-FR"/>
        </w:rPr>
        <w:lastRenderedPageBreak/>
        <w:t>La municipalité ne s</w:t>
      </w:r>
      <w:r w:rsidR="00044096" w:rsidRPr="00044096">
        <w:rPr>
          <w:lang w:val="fr-FR"/>
        </w:rPr>
        <w:t>’</w:t>
      </w:r>
      <w:r w:rsidRPr="00044096">
        <w:rPr>
          <w:lang w:val="fr-FR"/>
        </w:rPr>
        <w:t xml:space="preserve">étant pas exécutée, le 30 avril 2013 le </w:t>
      </w:r>
      <w:r w:rsidRPr="00044096">
        <w:rPr>
          <w:i/>
          <w:lang w:val="fr-FR"/>
        </w:rPr>
        <w:t>commissaire ad acta</w:t>
      </w:r>
      <w:r w:rsidRPr="00044096">
        <w:rPr>
          <w:lang w:val="fr-FR"/>
        </w:rPr>
        <w:t xml:space="preserve"> déposa un rapport selon lequel, le terrain des requérants ne pouvant pas être restitué en raison de sa transformation irréversible, la municipalité devait procéder à l</w:t>
      </w:r>
      <w:r w:rsidR="00044096" w:rsidRPr="00044096">
        <w:rPr>
          <w:lang w:val="fr-FR"/>
        </w:rPr>
        <w:t>’</w:t>
      </w:r>
      <w:r w:rsidRPr="00044096">
        <w:rPr>
          <w:lang w:val="fr-FR"/>
        </w:rPr>
        <w:t>acquisition du bien à son patrimoine et indemniser les propriétaires au titre des préjudices patrimonial et moral subis.</w:t>
      </w:r>
    </w:p>
    <w:p w:rsidR="002E1043" w:rsidRPr="00044096" w:rsidRDefault="002E1043" w:rsidP="00044096">
      <w:pPr>
        <w:pStyle w:val="ECHRPara"/>
        <w:rPr>
          <w:lang w:val="fr-FR"/>
        </w:rPr>
      </w:pPr>
      <w:r w:rsidRPr="00044096">
        <w:rPr>
          <w:lang w:val="fr-FR"/>
        </w:rPr>
        <w:t xml:space="preserve">Le 30 mai 2014, les requérants et les copropriétaires du terrain litigieux proposèrent à la municipalité un règlement amiable du litige. Ils déclarèrent accepter une somme égale au 80 % de leur créance, telle que chiffrée par le </w:t>
      </w:r>
      <w:r w:rsidRPr="00044096">
        <w:rPr>
          <w:i/>
          <w:lang w:val="fr-FR"/>
        </w:rPr>
        <w:t>commissaire ad acta</w:t>
      </w:r>
      <w:r w:rsidRPr="00044096">
        <w:rPr>
          <w:lang w:val="fr-FR"/>
        </w:rPr>
        <w:t>.</w:t>
      </w:r>
    </w:p>
    <w:p w:rsidR="002E1043" w:rsidRPr="00044096" w:rsidRDefault="002E1043" w:rsidP="00044096">
      <w:pPr>
        <w:pStyle w:val="ECHRPara"/>
        <w:rPr>
          <w:lang w:val="fr-FR"/>
        </w:rPr>
      </w:pPr>
      <w:r w:rsidRPr="00044096">
        <w:rPr>
          <w:lang w:val="fr-FR"/>
        </w:rPr>
        <w:t>Le 24 octobre 2014, la municipalité accepta cette offre. À la suite de ce règlement amiable, le 31 décembre 2014, les requérants obtinrent la somme concordée. Ils renoncèrent ainsi à leur droit au restant de leur créance et à poursuivre la procédure à cet égard, qui fut rayée du rôle.</w:t>
      </w:r>
    </w:p>
    <w:p w:rsidR="002E1043" w:rsidRPr="00044096" w:rsidRDefault="002E1043" w:rsidP="00044096">
      <w:pPr>
        <w:pStyle w:val="ECHRTitle1"/>
        <w:rPr>
          <w:lang w:val="fr-FR"/>
        </w:rPr>
      </w:pPr>
      <w:r w:rsidRPr="00044096">
        <w:rPr>
          <w:lang w:val="fr-FR"/>
        </w:rPr>
        <w:t>GRIEF</w:t>
      </w:r>
    </w:p>
    <w:p w:rsidR="002E1043" w:rsidRPr="00044096" w:rsidRDefault="002E1043" w:rsidP="00044096">
      <w:pPr>
        <w:pStyle w:val="ECHRPara"/>
        <w:rPr>
          <w:lang w:val="fr-FR"/>
        </w:rPr>
      </w:pPr>
      <w:r w:rsidRPr="00044096">
        <w:rPr>
          <w:lang w:val="fr-FR"/>
        </w:rPr>
        <w:t>Invoquant l</w:t>
      </w:r>
      <w:r w:rsidR="00044096" w:rsidRPr="00044096">
        <w:rPr>
          <w:lang w:val="fr-FR"/>
        </w:rPr>
        <w:t>’</w:t>
      </w:r>
      <w:r w:rsidRPr="00044096">
        <w:rPr>
          <w:lang w:val="fr-FR"/>
        </w:rPr>
        <w:t>article 1 du Protocole n</w:t>
      </w:r>
      <w:r w:rsidRPr="00044096">
        <w:rPr>
          <w:vertAlign w:val="superscript"/>
          <w:lang w:val="fr-FR"/>
        </w:rPr>
        <w:t>o</w:t>
      </w:r>
      <w:r w:rsidRPr="00044096">
        <w:rPr>
          <w:lang w:val="fr-FR"/>
        </w:rPr>
        <w:t xml:space="preserve"> 1, les requérants se plaignent d</w:t>
      </w:r>
      <w:r w:rsidR="00044096" w:rsidRPr="00044096">
        <w:rPr>
          <w:lang w:val="fr-FR"/>
        </w:rPr>
        <w:t>’</w:t>
      </w:r>
      <w:r w:rsidRPr="00044096">
        <w:rPr>
          <w:lang w:val="fr-FR"/>
        </w:rPr>
        <w:t>avoir été privés de leur terrain de manière incompatible avec leur droit au respect de leurs biens.</w:t>
      </w:r>
    </w:p>
    <w:p w:rsidR="002E1043" w:rsidRPr="00044096" w:rsidRDefault="002E1043" w:rsidP="00044096">
      <w:pPr>
        <w:pStyle w:val="ECHRTitle1"/>
        <w:rPr>
          <w:lang w:val="fr-FR"/>
        </w:rPr>
      </w:pPr>
      <w:r w:rsidRPr="00044096">
        <w:rPr>
          <w:lang w:val="fr-FR"/>
        </w:rPr>
        <w:t>EN DROIT</w:t>
      </w:r>
    </w:p>
    <w:p w:rsidR="002E1043" w:rsidRPr="00044096" w:rsidRDefault="002E1043" w:rsidP="00044096">
      <w:pPr>
        <w:pStyle w:val="ECHRPara"/>
        <w:rPr>
          <w:lang w:val="fr-FR"/>
        </w:rPr>
      </w:pPr>
      <w:r w:rsidRPr="00044096">
        <w:rPr>
          <w:lang w:val="fr-FR"/>
        </w:rPr>
        <w:t>Les requérants allèguent avoir été privés de leur terrain de manière incompatible avec l</w:t>
      </w:r>
      <w:r w:rsidR="00044096" w:rsidRPr="00044096">
        <w:rPr>
          <w:lang w:val="fr-FR"/>
        </w:rPr>
        <w:t>’</w:t>
      </w:r>
      <w:r w:rsidRPr="00044096">
        <w:rPr>
          <w:lang w:val="fr-FR"/>
        </w:rPr>
        <w:t>article 1 du Protocole n</w:t>
      </w:r>
      <w:r w:rsidRPr="00044096">
        <w:rPr>
          <w:vertAlign w:val="superscript"/>
          <w:lang w:val="fr-FR"/>
        </w:rPr>
        <w:t>o</w:t>
      </w:r>
      <w:r w:rsidRPr="00044096">
        <w:rPr>
          <w:lang w:val="fr-FR"/>
        </w:rPr>
        <w:t xml:space="preserve"> 1 ainsi libellé</w:t>
      </w:r>
      <w:r w:rsidR="000E1650" w:rsidRPr="00044096">
        <w:rPr>
          <w:lang w:val="fr-FR"/>
        </w:rPr>
        <w:t> </w:t>
      </w:r>
      <w:r w:rsidRPr="00044096">
        <w:rPr>
          <w:lang w:val="fr-FR"/>
        </w:rPr>
        <w:t>:</w:t>
      </w:r>
    </w:p>
    <w:p w:rsidR="002E1043" w:rsidRPr="00044096" w:rsidRDefault="000E1650" w:rsidP="00044096">
      <w:pPr>
        <w:pStyle w:val="ECHRParaQuote"/>
        <w:rPr>
          <w:lang w:val="fr-FR"/>
        </w:rPr>
      </w:pPr>
      <w:r w:rsidRPr="00044096">
        <w:rPr>
          <w:lang w:val="fr-FR"/>
        </w:rPr>
        <w:t>« </w:t>
      </w:r>
      <w:r w:rsidR="002E1043" w:rsidRPr="00044096">
        <w:rPr>
          <w:lang w:val="fr-FR"/>
        </w:rPr>
        <w:t>Toute personne physique ou morale a droit au respect de ses biens. Nul ne peut être privé de sa propriété que pour cause d</w:t>
      </w:r>
      <w:r w:rsidR="00044096" w:rsidRPr="00044096">
        <w:rPr>
          <w:lang w:val="fr-FR"/>
        </w:rPr>
        <w:t>’</w:t>
      </w:r>
      <w:r w:rsidR="002E1043" w:rsidRPr="00044096">
        <w:rPr>
          <w:lang w:val="fr-FR"/>
        </w:rPr>
        <w:t>utilité publique et dans les conditions prévues par la loi et les principes généraux du droit international.</w:t>
      </w:r>
    </w:p>
    <w:p w:rsidR="002E1043" w:rsidRPr="00044096" w:rsidRDefault="002E1043" w:rsidP="00044096">
      <w:pPr>
        <w:pStyle w:val="ECHRParaQuote"/>
        <w:rPr>
          <w:lang w:val="fr-FR"/>
        </w:rPr>
      </w:pPr>
      <w:r w:rsidRPr="00044096">
        <w:rPr>
          <w:lang w:val="fr-FR"/>
        </w:rPr>
        <w:t xml:space="preserve">Les dispositions précédentes ne portent pas atteinte au droit que possèdent les </w:t>
      </w:r>
      <w:r w:rsidR="00E1670C" w:rsidRPr="00044096">
        <w:rPr>
          <w:lang w:val="fr-FR"/>
        </w:rPr>
        <w:t>États</w:t>
      </w:r>
      <w:r w:rsidRPr="00044096">
        <w:rPr>
          <w:lang w:val="fr-FR"/>
        </w:rPr>
        <w:t xml:space="preserve"> de mettre en vigueur les lois qu</w:t>
      </w:r>
      <w:r w:rsidR="00044096" w:rsidRPr="00044096">
        <w:rPr>
          <w:lang w:val="fr-FR"/>
        </w:rPr>
        <w:t>’</w:t>
      </w:r>
      <w:r w:rsidRPr="00044096">
        <w:rPr>
          <w:lang w:val="fr-FR"/>
        </w:rPr>
        <w:t>ils jugent nécessaires pour réglementer l</w:t>
      </w:r>
      <w:r w:rsidR="00044096" w:rsidRPr="00044096">
        <w:rPr>
          <w:lang w:val="fr-FR"/>
        </w:rPr>
        <w:t>’</w:t>
      </w:r>
      <w:r w:rsidRPr="00044096">
        <w:rPr>
          <w:lang w:val="fr-FR"/>
        </w:rPr>
        <w:t>usage des biens conformément à l</w:t>
      </w:r>
      <w:r w:rsidR="00044096" w:rsidRPr="00044096">
        <w:rPr>
          <w:lang w:val="fr-FR"/>
        </w:rPr>
        <w:t>’</w:t>
      </w:r>
      <w:r w:rsidRPr="00044096">
        <w:rPr>
          <w:lang w:val="fr-FR"/>
        </w:rPr>
        <w:t>intérêt général ou pour assurer le paiement des impôts ou d</w:t>
      </w:r>
      <w:r w:rsidR="00044096" w:rsidRPr="00044096">
        <w:rPr>
          <w:lang w:val="fr-FR"/>
        </w:rPr>
        <w:t>’</w:t>
      </w:r>
      <w:r w:rsidRPr="00044096">
        <w:rPr>
          <w:lang w:val="fr-FR"/>
        </w:rPr>
        <w:t>autres contributions ou des amendes.</w:t>
      </w:r>
      <w:r w:rsidR="000E1650" w:rsidRPr="00044096">
        <w:rPr>
          <w:lang w:val="fr-FR"/>
        </w:rPr>
        <w:t> </w:t>
      </w:r>
      <w:r w:rsidRPr="00044096">
        <w:rPr>
          <w:lang w:val="fr-FR"/>
        </w:rPr>
        <w:t>»</w:t>
      </w:r>
    </w:p>
    <w:p w:rsidR="002E1043" w:rsidRPr="00044096" w:rsidRDefault="002E1043" w:rsidP="00044096">
      <w:pPr>
        <w:pStyle w:val="ECHRPara"/>
        <w:rPr>
          <w:lang w:val="fr-FR"/>
        </w:rPr>
      </w:pPr>
      <w:r w:rsidRPr="00044096">
        <w:rPr>
          <w:lang w:val="fr-FR"/>
        </w:rPr>
        <w:t>Par une lettre du 4 février 2015, le Gouvernement a informé la Cour de la transaction conclue entre les requérants et l</w:t>
      </w:r>
      <w:r w:rsidR="00044096" w:rsidRPr="00044096">
        <w:rPr>
          <w:lang w:val="fr-FR"/>
        </w:rPr>
        <w:t>’</w:t>
      </w:r>
      <w:r w:rsidRPr="00044096">
        <w:rPr>
          <w:lang w:val="fr-FR"/>
        </w:rPr>
        <w:t>administration, demandant la radiation de la requête du rôle.</w:t>
      </w:r>
    </w:p>
    <w:p w:rsidR="002E1043" w:rsidRPr="00044096" w:rsidRDefault="002E1043" w:rsidP="00044096">
      <w:pPr>
        <w:pStyle w:val="ECHRPara"/>
        <w:rPr>
          <w:lang w:val="fr-FR"/>
        </w:rPr>
      </w:pPr>
      <w:r w:rsidRPr="00044096">
        <w:rPr>
          <w:lang w:val="fr-FR"/>
        </w:rPr>
        <w:t>Les requérants ont confirmé avoir reçu le paiement d</w:t>
      </w:r>
      <w:r w:rsidR="00044096" w:rsidRPr="00044096">
        <w:rPr>
          <w:lang w:val="fr-FR"/>
        </w:rPr>
        <w:t>’</w:t>
      </w:r>
      <w:r w:rsidRPr="00044096">
        <w:rPr>
          <w:lang w:val="fr-FR"/>
        </w:rPr>
        <w:t>une somme égale au 80% de leur créance, tout en demandant à la Cour de condamner le Gouvernement à payer les frais de la procédure devant elle, sans toutefois ni chiffrer ni justifier leur demande.</w:t>
      </w:r>
    </w:p>
    <w:p w:rsidR="002E1043" w:rsidRPr="00044096" w:rsidRDefault="002E1043" w:rsidP="00044096">
      <w:pPr>
        <w:pStyle w:val="ECHRPara"/>
        <w:keepNext/>
        <w:keepLines/>
        <w:rPr>
          <w:lang w:val="fr-FR"/>
        </w:rPr>
      </w:pPr>
      <w:r w:rsidRPr="00044096">
        <w:rPr>
          <w:lang w:val="fr-FR"/>
        </w:rPr>
        <w:lastRenderedPageBreak/>
        <w:t>Compte tenu des événements survenus dans l</w:t>
      </w:r>
      <w:r w:rsidR="00044096" w:rsidRPr="00044096">
        <w:rPr>
          <w:lang w:val="fr-FR"/>
        </w:rPr>
        <w:t>’</w:t>
      </w:r>
      <w:r w:rsidRPr="00044096">
        <w:rPr>
          <w:lang w:val="fr-FR"/>
        </w:rPr>
        <w:t>affaire, la Cour estime nécessaire de se pencher sur la question de la qualité de victime des requérants. Elle rappelle, par ailleurs, que la question de savoir si un requérant peut se prétendre «victime » de la violation alléguée se pose à tous les stades de la procédure devant la Cour (</w:t>
      </w:r>
      <w:proofErr w:type="spellStart"/>
      <w:r w:rsidRPr="00044096">
        <w:rPr>
          <w:i/>
          <w:lang w:val="fr-FR"/>
        </w:rPr>
        <w:t>Scordino</w:t>
      </w:r>
      <w:proofErr w:type="spellEnd"/>
      <w:r w:rsidRPr="00044096">
        <w:rPr>
          <w:i/>
          <w:lang w:val="fr-FR"/>
        </w:rPr>
        <w:t xml:space="preserve"> c. Italie (n</w:t>
      </w:r>
      <w:r w:rsidR="00E1670C" w:rsidRPr="00044096">
        <w:rPr>
          <w:i/>
          <w:lang w:val="fr-FR"/>
        </w:rPr>
        <w:t> </w:t>
      </w:r>
      <w:r w:rsidRPr="00044096">
        <w:rPr>
          <w:i/>
          <w:lang w:val="fr-FR"/>
        </w:rPr>
        <w:t xml:space="preserve"> 1)</w:t>
      </w:r>
      <w:r w:rsidRPr="00044096">
        <w:rPr>
          <w:lang w:val="fr-FR"/>
        </w:rPr>
        <w:t xml:space="preserve"> [GC], n</w:t>
      </w:r>
      <w:r w:rsidRPr="00044096">
        <w:rPr>
          <w:vertAlign w:val="superscript"/>
          <w:lang w:val="fr-FR"/>
        </w:rPr>
        <w:t>o</w:t>
      </w:r>
      <w:r w:rsidRPr="00044096">
        <w:rPr>
          <w:lang w:val="fr-FR"/>
        </w:rPr>
        <w:t xml:space="preserve"> </w:t>
      </w:r>
      <w:r w:rsidR="000E1650" w:rsidRPr="00044096">
        <w:rPr>
          <w:lang w:val="fr-FR"/>
        </w:rPr>
        <w:t xml:space="preserve">36813/97, </w:t>
      </w:r>
      <w:r w:rsidRPr="00044096">
        <w:rPr>
          <w:lang w:val="fr-FR"/>
        </w:rPr>
        <w:t>§ 179, CEDH 2006</w:t>
      </w:r>
      <w:r w:rsidRPr="00044096">
        <w:rPr>
          <w:lang w:val="fr-FR"/>
        </w:rPr>
        <w:noBreakHyphen/>
        <w:t>V).</w:t>
      </w:r>
    </w:p>
    <w:p w:rsidR="002E1043" w:rsidRPr="00044096" w:rsidRDefault="002E1043" w:rsidP="00044096">
      <w:pPr>
        <w:pStyle w:val="ECHRPara"/>
        <w:rPr>
          <w:lang w:val="fr-FR"/>
        </w:rPr>
      </w:pPr>
      <w:r w:rsidRPr="00044096">
        <w:rPr>
          <w:lang w:val="fr-FR"/>
        </w:rPr>
        <w:t>La Cour relève que le règlement amiable proposé par les requérants à l</w:t>
      </w:r>
      <w:r w:rsidR="00044096" w:rsidRPr="00044096">
        <w:rPr>
          <w:lang w:val="fr-FR"/>
        </w:rPr>
        <w:t>’</w:t>
      </w:r>
      <w:r w:rsidRPr="00044096">
        <w:rPr>
          <w:lang w:val="fr-FR"/>
        </w:rPr>
        <w:t>administration et conclu le 24 octobre 2014, entraînait, de la part des requérants, l</w:t>
      </w:r>
      <w:r w:rsidR="00044096" w:rsidRPr="00044096">
        <w:rPr>
          <w:lang w:val="fr-FR"/>
        </w:rPr>
        <w:t>’</w:t>
      </w:r>
      <w:r w:rsidRPr="00044096">
        <w:rPr>
          <w:lang w:val="fr-FR"/>
        </w:rPr>
        <w:t>acceptation de la somme indiquée et la renonciation à faire valoir leurs prétentions par la voie judiciaire.</w:t>
      </w:r>
    </w:p>
    <w:p w:rsidR="002E1043" w:rsidRPr="00044096" w:rsidRDefault="002E1043" w:rsidP="00044096">
      <w:pPr>
        <w:pStyle w:val="ECHRPara"/>
        <w:rPr>
          <w:lang w:val="fr-FR"/>
        </w:rPr>
      </w:pPr>
      <w:r w:rsidRPr="00044096">
        <w:rPr>
          <w:lang w:val="fr-FR"/>
        </w:rPr>
        <w:t>Aux yeux de la Cour, la transaction a eu pour effet de satisfaire dans une grande mesure les revendications formulées par les requérants sous l</w:t>
      </w:r>
      <w:r w:rsidR="00044096" w:rsidRPr="00044096">
        <w:rPr>
          <w:lang w:val="fr-FR"/>
        </w:rPr>
        <w:t>’</w:t>
      </w:r>
      <w:r w:rsidRPr="00044096">
        <w:rPr>
          <w:lang w:val="fr-FR"/>
        </w:rPr>
        <w:t>angle de l</w:t>
      </w:r>
      <w:r w:rsidR="00044096" w:rsidRPr="00044096">
        <w:rPr>
          <w:lang w:val="fr-FR"/>
        </w:rPr>
        <w:t>’</w:t>
      </w:r>
      <w:r w:rsidRPr="00044096">
        <w:rPr>
          <w:lang w:val="fr-FR"/>
        </w:rPr>
        <w:t>article 1 du Protocole n</w:t>
      </w:r>
      <w:r w:rsidRPr="00044096">
        <w:rPr>
          <w:vertAlign w:val="superscript"/>
          <w:lang w:val="fr-FR"/>
        </w:rPr>
        <w:t>o</w:t>
      </w:r>
      <w:r w:rsidRPr="00044096">
        <w:rPr>
          <w:lang w:val="fr-FR"/>
        </w:rPr>
        <w:t xml:space="preserve"> 1. Rien ne permet de penser que les requérants n</w:t>
      </w:r>
      <w:r w:rsidR="00044096" w:rsidRPr="00044096">
        <w:rPr>
          <w:lang w:val="fr-FR"/>
        </w:rPr>
        <w:t>’</w:t>
      </w:r>
      <w:r w:rsidRPr="00044096">
        <w:rPr>
          <w:lang w:val="fr-FR"/>
        </w:rPr>
        <w:t>aient pas été conscients des conséquences de leur choix ou que ce dernier n</w:t>
      </w:r>
      <w:r w:rsidR="00044096" w:rsidRPr="00044096">
        <w:rPr>
          <w:lang w:val="fr-FR"/>
        </w:rPr>
        <w:t>’</w:t>
      </w:r>
      <w:r w:rsidRPr="00044096">
        <w:rPr>
          <w:lang w:val="fr-FR"/>
        </w:rPr>
        <w:t>ait pas été libre et volontaire. De ce fait les requérants ont résolu le litige à l</w:t>
      </w:r>
      <w:r w:rsidR="00044096" w:rsidRPr="00044096">
        <w:rPr>
          <w:lang w:val="fr-FR"/>
        </w:rPr>
        <w:t>’</w:t>
      </w:r>
      <w:r w:rsidRPr="00044096">
        <w:rPr>
          <w:lang w:val="fr-FR"/>
        </w:rPr>
        <w:t>amiable et ne peuvent plus se prétendre victimes de la violation alléguée au sens de l</w:t>
      </w:r>
      <w:r w:rsidR="00044096" w:rsidRPr="00044096">
        <w:rPr>
          <w:lang w:val="fr-FR"/>
        </w:rPr>
        <w:t>’</w:t>
      </w:r>
      <w:r w:rsidRPr="00044096">
        <w:rPr>
          <w:lang w:val="fr-FR"/>
        </w:rPr>
        <w:t xml:space="preserve">article 34 de la Convention (voir, </w:t>
      </w:r>
      <w:r w:rsidRPr="00044096">
        <w:rPr>
          <w:i/>
          <w:lang w:val="fr-FR"/>
        </w:rPr>
        <w:t>mutatis mutandis</w:t>
      </w:r>
      <w:r w:rsidRPr="00044096">
        <w:rPr>
          <w:lang w:val="fr-FR"/>
        </w:rPr>
        <w:t xml:space="preserve">, </w:t>
      </w:r>
      <w:r w:rsidRPr="00044096">
        <w:rPr>
          <w:i/>
          <w:lang w:val="fr-FR"/>
        </w:rPr>
        <w:t>Angelo Caruso c. Italie</w:t>
      </w:r>
      <w:r w:rsidRPr="00044096">
        <w:rPr>
          <w:lang w:val="fr-FR"/>
        </w:rPr>
        <w:t>, n</w:t>
      </w:r>
      <w:r w:rsidRPr="00044096">
        <w:rPr>
          <w:vertAlign w:val="superscript"/>
          <w:lang w:val="fr-FR"/>
        </w:rPr>
        <w:t>o</w:t>
      </w:r>
      <w:r w:rsidRPr="00044096">
        <w:rPr>
          <w:lang w:val="fr-FR"/>
        </w:rPr>
        <w:t xml:space="preserve"> </w:t>
      </w:r>
      <w:r w:rsidR="000E1650" w:rsidRPr="00044096">
        <w:rPr>
          <w:lang w:val="fr-FR"/>
        </w:rPr>
        <w:t>24817/03, § 28, 2 avril 2013,</w:t>
      </w:r>
      <w:r w:rsidRPr="00044096">
        <w:rPr>
          <w:lang w:val="fr-FR"/>
        </w:rPr>
        <w:t xml:space="preserve"> </w:t>
      </w:r>
      <w:r w:rsidR="000E1650" w:rsidRPr="00044096">
        <w:rPr>
          <w:lang w:val="fr-FR"/>
        </w:rPr>
        <w:t xml:space="preserve">et </w:t>
      </w:r>
      <w:proofErr w:type="spellStart"/>
      <w:r w:rsidRPr="00044096">
        <w:rPr>
          <w:i/>
          <w:lang w:val="fr-FR"/>
        </w:rPr>
        <w:t>Condominio</w:t>
      </w:r>
      <w:proofErr w:type="spellEnd"/>
      <w:r w:rsidRPr="00044096">
        <w:rPr>
          <w:i/>
          <w:lang w:val="fr-FR"/>
        </w:rPr>
        <w:t xml:space="preserve"> Porta </w:t>
      </w:r>
      <w:proofErr w:type="spellStart"/>
      <w:r w:rsidRPr="00044096">
        <w:rPr>
          <w:i/>
          <w:lang w:val="fr-FR"/>
        </w:rPr>
        <w:t>Rufina</w:t>
      </w:r>
      <w:proofErr w:type="spellEnd"/>
      <w:r w:rsidRPr="00044096">
        <w:rPr>
          <w:i/>
          <w:lang w:val="fr-FR"/>
        </w:rPr>
        <w:t xml:space="preserve"> n</w:t>
      </w:r>
      <w:r w:rsidRPr="00044096">
        <w:rPr>
          <w:i/>
          <w:vertAlign w:val="superscript"/>
          <w:lang w:val="fr-FR"/>
        </w:rPr>
        <w:t>o</w:t>
      </w:r>
      <w:r w:rsidR="00E1670C" w:rsidRPr="00044096">
        <w:rPr>
          <w:i/>
          <w:lang w:val="fr-FR"/>
        </w:rPr>
        <w:t> </w:t>
      </w:r>
      <w:r w:rsidRPr="00044096">
        <w:rPr>
          <w:i/>
          <w:lang w:val="fr-FR"/>
        </w:rPr>
        <w:t xml:space="preserve">48 di </w:t>
      </w:r>
      <w:proofErr w:type="spellStart"/>
      <w:r w:rsidRPr="00044096">
        <w:rPr>
          <w:i/>
          <w:lang w:val="fr-FR"/>
        </w:rPr>
        <w:t>Benevento</w:t>
      </w:r>
      <w:proofErr w:type="spellEnd"/>
      <w:r w:rsidRPr="00044096">
        <w:rPr>
          <w:i/>
          <w:lang w:val="fr-FR"/>
        </w:rPr>
        <w:t xml:space="preserve"> c. Italie</w:t>
      </w:r>
      <w:r w:rsidRPr="00044096">
        <w:rPr>
          <w:lang w:val="fr-FR"/>
        </w:rPr>
        <w:t xml:space="preserve"> (déc.), n</w:t>
      </w:r>
      <w:r w:rsidRPr="00044096">
        <w:rPr>
          <w:vertAlign w:val="superscript"/>
          <w:lang w:val="fr-FR"/>
        </w:rPr>
        <w:t>o</w:t>
      </w:r>
      <w:r w:rsidRPr="00044096">
        <w:rPr>
          <w:lang w:val="fr-FR"/>
        </w:rPr>
        <w:t xml:space="preserve"> 17258/05, § 19, 7 janvier 2014).</w:t>
      </w:r>
    </w:p>
    <w:p w:rsidR="002E1043" w:rsidRPr="00044096" w:rsidRDefault="002E1043" w:rsidP="00044096">
      <w:pPr>
        <w:pStyle w:val="ECHRPara"/>
        <w:rPr>
          <w:lang w:val="fr-FR"/>
        </w:rPr>
      </w:pPr>
      <w:r w:rsidRPr="00044096">
        <w:rPr>
          <w:lang w:val="fr-FR"/>
        </w:rPr>
        <w:t xml:space="preserve">En conséquence, la requête est incompatible </w:t>
      </w:r>
      <w:proofErr w:type="spellStart"/>
      <w:r w:rsidRPr="00044096">
        <w:rPr>
          <w:i/>
          <w:lang w:val="fr-FR"/>
        </w:rPr>
        <w:t>ratione</w:t>
      </w:r>
      <w:proofErr w:type="spellEnd"/>
      <w:r w:rsidRPr="00044096">
        <w:rPr>
          <w:i/>
          <w:lang w:val="fr-FR"/>
        </w:rPr>
        <w:t xml:space="preserve"> personae</w:t>
      </w:r>
      <w:r w:rsidRPr="00044096">
        <w:rPr>
          <w:lang w:val="fr-FR"/>
        </w:rPr>
        <w:t xml:space="preserve"> avec les dispositions de la Convention au sens de l</w:t>
      </w:r>
      <w:r w:rsidR="00044096" w:rsidRPr="00044096">
        <w:rPr>
          <w:lang w:val="fr-FR"/>
        </w:rPr>
        <w:t>’</w:t>
      </w:r>
      <w:r w:rsidRPr="00044096">
        <w:rPr>
          <w:lang w:val="fr-FR"/>
        </w:rPr>
        <w:t>article 35 § 3 et doit être rejetée en vertu de l</w:t>
      </w:r>
      <w:r w:rsidR="00044096" w:rsidRPr="00044096">
        <w:rPr>
          <w:lang w:val="fr-FR"/>
        </w:rPr>
        <w:t>’</w:t>
      </w:r>
      <w:r w:rsidRPr="00044096">
        <w:rPr>
          <w:lang w:val="fr-FR"/>
        </w:rPr>
        <w:t>article 35 § 4.</w:t>
      </w:r>
    </w:p>
    <w:p w:rsidR="002E1043" w:rsidRPr="00044096" w:rsidRDefault="002E1043" w:rsidP="00044096">
      <w:pPr>
        <w:pStyle w:val="JuParaLast"/>
        <w:rPr>
          <w:lang w:val="fr-FR"/>
        </w:rPr>
      </w:pPr>
      <w:r w:rsidRPr="00044096">
        <w:rPr>
          <w:lang w:val="fr-FR"/>
        </w:rPr>
        <w:t>Par ces motifs, la Cour, à l</w:t>
      </w:r>
      <w:r w:rsidR="00044096" w:rsidRPr="00044096">
        <w:rPr>
          <w:lang w:val="fr-FR"/>
        </w:rPr>
        <w:t>’</w:t>
      </w:r>
      <w:r w:rsidRPr="00044096">
        <w:rPr>
          <w:lang w:val="fr-FR"/>
        </w:rPr>
        <w:t>unanimité,</w:t>
      </w:r>
    </w:p>
    <w:p w:rsidR="002E1043" w:rsidRPr="00044096" w:rsidRDefault="00F95051" w:rsidP="00044096">
      <w:pPr>
        <w:pStyle w:val="DecList"/>
        <w:rPr>
          <w:lang w:val="fr-FR"/>
        </w:rPr>
      </w:pPr>
      <w:r w:rsidRPr="00044096">
        <w:rPr>
          <w:i/>
          <w:lang w:val="fr-FR"/>
        </w:rPr>
        <w:t xml:space="preserve">Déclare </w:t>
      </w:r>
      <w:r w:rsidRPr="00044096">
        <w:rPr>
          <w:lang w:val="fr-FR"/>
        </w:rPr>
        <w:t>la requête irrecevable.</w:t>
      </w:r>
    </w:p>
    <w:p w:rsidR="006544C4" w:rsidRPr="00044096" w:rsidRDefault="006544C4" w:rsidP="00044096">
      <w:pPr>
        <w:pStyle w:val="ECHRPara"/>
        <w:rPr>
          <w:sz w:val="2"/>
          <w:szCs w:val="2"/>
          <w:lang w:val="fr-FR" w:eastAsia="en-GB"/>
        </w:rPr>
      </w:pPr>
    </w:p>
    <w:p w:rsidR="00050A32" w:rsidRPr="00044096" w:rsidRDefault="00F40988" w:rsidP="00044096">
      <w:pPr>
        <w:pStyle w:val="JuParaLast"/>
        <w:rPr>
          <w:lang w:val="fr-FR"/>
        </w:rPr>
      </w:pPr>
      <w:r w:rsidRPr="00044096">
        <w:rPr>
          <w:szCs w:val="24"/>
          <w:lang w:val="fr-FR"/>
        </w:rPr>
        <w:t xml:space="preserve">Fait en français puis communiqué par écrit le </w:t>
      </w:r>
      <w:r w:rsidR="002E1043" w:rsidRPr="00044096">
        <w:rPr>
          <w:szCs w:val="24"/>
          <w:lang w:val="fr-FR"/>
        </w:rPr>
        <w:t>30 mars 2017</w:t>
      </w:r>
      <w:r w:rsidRPr="00044096">
        <w:rPr>
          <w:lang w:val="fr-FR"/>
        </w:rPr>
        <w:t>.</w:t>
      </w:r>
    </w:p>
    <w:p w:rsidR="0035621E" w:rsidRPr="00044096" w:rsidRDefault="002E1043" w:rsidP="00044096">
      <w:pPr>
        <w:pStyle w:val="JuSigned"/>
        <w:tabs>
          <w:tab w:val="clear" w:pos="851"/>
          <w:tab w:val="center" w:pos="993"/>
        </w:tabs>
        <w:rPr>
          <w:lang w:val="fr-FR"/>
        </w:rPr>
      </w:pPr>
      <w:r w:rsidRPr="00044096">
        <w:rPr>
          <w:lang w:val="fr-FR"/>
        </w:rPr>
        <w:tab/>
      </w:r>
      <w:r w:rsidR="00F95051" w:rsidRPr="00044096">
        <w:rPr>
          <w:lang w:val="fr-FR"/>
        </w:rPr>
        <w:t xml:space="preserve">Renata </w:t>
      </w:r>
      <w:proofErr w:type="spellStart"/>
      <w:r w:rsidR="00F95051" w:rsidRPr="00044096">
        <w:rPr>
          <w:lang w:val="fr-FR"/>
        </w:rPr>
        <w:t>Degener</w:t>
      </w:r>
      <w:proofErr w:type="spellEnd"/>
      <w:r w:rsidR="0091478F" w:rsidRPr="00044096">
        <w:rPr>
          <w:lang w:val="fr-FR"/>
        </w:rPr>
        <w:tab/>
      </w:r>
      <w:r w:rsidRPr="00044096">
        <w:rPr>
          <w:lang w:val="fr-FR"/>
        </w:rPr>
        <w:t xml:space="preserve">Kristina </w:t>
      </w:r>
      <w:proofErr w:type="spellStart"/>
      <w:r w:rsidRPr="00044096">
        <w:rPr>
          <w:lang w:val="fr-FR"/>
        </w:rPr>
        <w:t>Pardalos</w:t>
      </w:r>
      <w:proofErr w:type="spellEnd"/>
    </w:p>
    <w:p w:rsidR="0091478F" w:rsidRPr="00044096" w:rsidRDefault="0035621E" w:rsidP="00044096">
      <w:pPr>
        <w:pStyle w:val="JuSigned"/>
        <w:tabs>
          <w:tab w:val="clear" w:pos="851"/>
          <w:tab w:val="center" w:pos="993"/>
        </w:tabs>
        <w:contextualSpacing/>
        <w:rPr>
          <w:lang w:val="fr-FR"/>
        </w:rPr>
      </w:pPr>
      <w:r w:rsidRPr="00044096">
        <w:rPr>
          <w:iCs/>
          <w:lang w:val="fr-FR"/>
        </w:rPr>
        <w:tab/>
      </w:r>
      <w:r w:rsidR="00F95051" w:rsidRPr="00044096">
        <w:rPr>
          <w:lang w:val="fr-FR"/>
        </w:rPr>
        <w:t>Greffière adjointe</w:t>
      </w:r>
      <w:r w:rsidR="0091478F" w:rsidRPr="00044096">
        <w:rPr>
          <w:lang w:val="fr-FR"/>
        </w:rPr>
        <w:tab/>
      </w:r>
      <w:r w:rsidR="002E1043" w:rsidRPr="00044096">
        <w:rPr>
          <w:lang w:val="fr-FR"/>
        </w:rPr>
        <w:t>Présidente</w:t>
      </w:r>
    </w:p>
    <w:p w:rsidR="002E1043" w:rsidRPr="00044096" w:rsidRDefault="002E1043" w:rsidP="00044096">
      <w:pPr>
        <w:rPr>
          <w:lang w:val="fr-FR"/>
        </w:rPr>
      </w:pPr>
      <w:r w:rsidRPr="00044096">
        <w:rPr>
          <w:lang w:val="fr-FR"/>
        </w:rPr>
        <w:br w:type="page"/>
      </w:r>
    </w:p>
    <w:p w:rsidR="004D15F3" w:rsidRPr="00044096" w:rsidRDefault="002E1043" w:rsidP="00044096">
      <w:pPr>
        <w:pStyle w:val="JuTitle"/>
        <w:rPr>
          <w:lang w:val="fr-FR"/>
        </w:rPr>
      </w:pPr>
      <w:r w:rsidRPr="00044096">
        <w:rPr>
          <w:lang w:val="fr-FR"/>
        </w:rPr>
        <w:lastRenderedPageBreak/>
        <w:t>ANNEXE</w:t>
      </w:r>
    </w:p>
    <w:tbl>
      <w:tblPr>
        <w:tblStyle w:val="ECHRListTable"/>
        <w:tblW w:w="5802" w:type="pct"/>
        <w:tblInd w:w="-601" w:type="dxa"/>
        <w:tblLayout w:type="fixed"/>
        <w:tblLook w:val="05E0" w:firstRow="1" w:lastRow="1" w:firstColumn="1" w:lastColumn="1" w:noHBand="0" w:noVBand="1"/>
      </w:tblPr>
      <w:tblGrid>
        <w:gridCol w:w="2514"/>
        <w:gridCol w:w="1542"/>
        <w:gridCol w:w="1542"/>
        <w:gridCol w:w="1542"/>
        <w:gridCol w:w="1649"/>
      </w:tblGrid>
      <w:tr w:rsidR="00246FA1" w:rsidRPr="00044096" w:rsidTr="00246FA1">
        <w:trPr>
          <w:cnfStyle w:val="100000000000" w:firstRow="1" w:lastRow="0" w:firstColumn="0" w:lastColumn="0" w:oddVBand="0" w:evenVBand="0" w:oddHBand="0" w:evenHBand="0" w:firstRowFirstColumn="0" w:firstRowLastColumn="0" w:lastRowFirstColumn="0" w:lastRowLastColumn="0"/>
          <w:trHeight w:val="552"/>
        </w:trPr>
        <w:tc>
          <w:tcPr>
            <w:tcW w:w="1430" w:type="pct"/>
            <w:vAlign w:val="center"/>
          </w:tcPr>
          <w:p w:rsidR="002E1043" w:rsidRPr="00044096" w:rsidRDefault="002E1043" w:rsidP="00044096">
            <w:pPr>
              <w:ind w:left="-392" w:firstLine="392"/>
              <w:jc w:val="center"/>
              <w:rPr>
                <w:szCs w:val="24"/>
                <w:lang w:val="fr-FR"/>
              </w:rPr>
            </w:pPr>
            <w:r w:rsidRPr="00044096">
              <w:rPr>
                <w:szCs w:val="24"/>
                <w:lang w:val="fr-FR"/>
              </w:rPr>
              <w:t>Prénom NOM</w:t>
            </w:r>
          </w:p>
        </w:tc>
        <w:tc>
          <w:tcPr>
            <w:tcW w:w="877" w:type="pct"/>
            <w:vAlign w:val="center"/>
          </w:tcPr>
          <w:p w:rsidR="002E1043" w:rsidRPr="00044096" w:rsidRDefault="002E1043" w:rsidP="00044096">
            <w:pPr>
              <w:jc w:val="center"/>
              <w:rPr>
                <w:szCs w:val="24"/>
                <w:lang w:val="fr-FR"/>
              </w:rPr>
            </w:pPr>
            <w:r w:rsidRPr="00044096">
              <w:rPr>
                <w:szCs w:val="24"/>
                <w:lang w:val="fr-FR"/>
              </w:rPr>
              <w:t>Date de naissance</w:t>
            </w:r>
          </w:p>
        </w:tc>
        <w:tc>
          <w:tcPr>
            <w:tcW w:w="877" w:type="pct"/>
            <w:vAlign w:val="center"/>
          </w:tcPr>
          <w:p w:rsidR="002E1043" w:rsidRPr="00044096" w:rsidRDefault="002E1043" w:rsidP="00044096">
            <w:pPr>
              <w:jc w:val="center"/>
              <w:rPr>
                <w:szCs w:val="24"/>
                <w:lang w:val="fr-FR"/>
              </w:rPr>
            </w:pPr>
            <w:r w:rsidRPr="00044096">
              <w:rPr>
                <w:szCs w:val="24"/>
                <w:lang w:val="fr-FR"/>
              </w:rPr>
              <w:t>Nationalité</w:t>
            </w:r>
          </w:p>
        </w:tc>
        <w:tc>
          <w:tcPr>
            <w:tcW w:w="877" w:type="pct"/>
            <w:vAlign w:val="center"/>
          </w:tcPr>
          <w:p w:rsidR="002E1043" w:rsidRPr="00044096" w:rsidRDefault="002E1043" w:rsidP="00044096">
            <w:pPr>
              <w:jc w:val="center"/>
              <w:rPr>
                <w:szCs w:val="24"/>
                <w:lang w:val="fr-FR"/>
              </w:rPr>
            </w:pPr>
            <w:r w:rsidRPr="00044096">
              <w:rPr>
                <w:szCs w:val="24"/>
                <w:lang w:val="fr-FR"/>
              </w:rPr>
              <w:t>Lieu de résidence</w:t>
            </w:r>
          </w:p>
        </w:tc>
        <w:tc>
          <w:tcPr>
            <w:tcW w:w="938" w:type="pct"/>
            <w:vAlign w:val="center"/>
          </w:tcPr>
          <w:p w:rsidR="002E1043" w:rsidRPr="00044096" w:rsidRDefault="002E1043" w:rsidP="00044096">
            <w:pPr>
              <w:jc w:val="center"/>
              <w:rPr>
                <w:szCs w:val="24"/>
                <w:lang w:val="fr-FR"/>
              </w:rPr>
            </w:pPr>
            <w:r w:rsidRPr="00044096">
              <w:rPr>
                <w:szCs w:val="24"/>
                <w:lang w:val="fr-FR"/>
              </w:rPr>
              <w:t>Représentant</w:t>
            </w:r>
          </w:p>
        </w:tc>
      </w:tr>
      <w:tr w:rsidR="00246FA1" w:rsidRPr="00044096" w:rsidTr="00246FA1">
        <w:trPr>
          <w:trHeight w:val="552"/>
        </w:trPr>
        <w:tc>
          <w:tcPr>
            <w:tcW w:w="1430" w:type="pct"/>
            <w:vAlign w:val="center"/>
          </w:tcPr>
          <w:p w:rsidR="002E1043" w:rsidRPr="00044096" w:rsidRDefault="002E1043" w:rsidP="00044096">
            <w:pPr>
              <w:ind w:left="-392" w:firstLine="392"/>
              <w:jc w:val="left"/>
              <w:rPr>
                <w:sz w:val="22"/>
                <w:lang w:val="fr-FR"/>
              </w:rPr>
            </w:pPr>
            <w:proofErr w:type="spellStart"/>
            <w:r w:rsidRPr="00044096">
              <w:rPr>
                <w:sz w:val="22"/>
                <w:lang w:val="fr-FR"/>
              </w:rPr>
              <w:t>Pasquale</w:t>
            </w:r>
            <w:proofErr w:type="spellEnd"/>
            <w:r w:rsidRPr="00044096">
              <w:rPr>
                <w:sz w:val="22"/>
                <w:lang w:val="fr-FR"/>
              </w:rPr>
              <w:t xml:space="preserve"> IMPROTA</w:t>
            </w:r>
          </w:p>
        </w:tc>
        <w:tc>
          <w:tcPr>
            <w:tcW w:w="877" w:type="pct"/>
            <w:vAlign w:val="center"/>
          </w:tcPr>
          <w:p w:rsidR="002E1043" w:rsidRPr="00044096" w:rsidRDefault="002E1043" w:rsidP="00044096">
            <w:pPr>
              <w:jc w:val="center"/>
              <w:rPr>
                <w:sz w:val="22"/>
                <w:lang w:val="fr-FR"/>
              </w:rPr>
            </w:pPr>
            <w:r w:rsidRPr="00044096">
              <w:rPr>
                <w:sz w:val="22"/>
                <w:lang w:val="fr-FR"/>
              </w:rPr>
              <w:t>19/04/1952</w:t>
            </w:r>
          </w:p>
        </w:tc>
        <w:tc>
          <w:tcPr>
            <w:tcW w:w="877" w:type="pct"/>
            <w:vAlign w:val="center"/>
          </w:tcPr>
          <w:p w:rsidR="002E1043" w:rsidRPr="00044096" w:rsidRDefault="00246FA1" w:rsidP="00044096">
            <w:pPr>
              <w:jc w:val="center"/>
              <w:rPr>
                <w:sz w:val="22"/>
                <w:lang w:val="fr-FR"/>
              </w:rPr>
            </w:pPr>
            <w:r w:rsidRPr="00044096">
              <w:rPr>
                <w:sz w:val="22"/>
                <w:lang w:val="fr-FR"/>
              </w:rPr>
              <w:t>i</w:t>
            </w:r>
            <w:r w:rsidR="002E1043" w:rsidRPr="00044096">
              <w:rPr>
                <w:sz w:val="22"/>
                <w:lang w:val="fr-FR"/>
              </w:rPr>
              <w:t>talien</w:t>
            </w:r>
            <w:r w:rsidRPr="00044096">
              <w:rPr>
                <w:sz w:val="22"/>
                <w:lang w:val="fr-FR"/>
              </w:rPr>
              <w:t>ne</w:t>
            </w:r>
          </w:p>
        </w:tc>
        <w:tc>
          <w:tcPr>
            <w:tcW w:w="877" w:type="pct"/>
            <w:vAlign w:val="center"/>
          </w:tcPr>
          <w:p w:rsidR="002E1043" w:rsidRPr="00044096" w:rsidRDefault="002E1043" w:rsidP="00044096">
            <w:pPr>
              <w:jc w:val="center"/>
              <w:rPr>
                <w:sz w:val="22"/>
                <w:lang w:val="fr-FR"/>
              </w:rPr>
            </w:pPr>
            <w:r w:rsidRPr="00044096">
              <w:rPr>
                <w:sz w:val="22"/>
                <w:lang w:val="fr-FR"/>
              </w:rPr>
              <w:t>Naples</w:t>
            </w:r>
          </w:p>
        </w:tc>
        <w:tc>
          <w:tcPr>
            <w:tcW w:w="938" w:type="pct"/>
            <w:vAlign w:val="center"/>
          </w:tcPr>
          <w:p w:rsidR="002E1043" w:rsidRPr="00044096" w:rsidRDefault="002E1043" w:rsidP="00044096">
            <w:pPr>
              <w:jc w:val="center"/>
              <w:rPr>
                <w:sz w:val="22"/>
                <w:lang w:val="fr-FR"/>
              </w:rPr>
            </w:pPr>
            <w:r w:rsidRPr="00044096">
              <w:rPr>
                <w:sz w:val="22"/>
                <w:lang w:val="fr-FR"/>
              </w:rPr>
              <w:t>B. Carbone</w:t>
            </w:r>
          </w:p>
        </w:tc>
      </w:tr>
      <w:tr w:rsidR="00246FA1" w:rsidRPr="00044096" w:rsidTr="00246FA1">
        <w:trPr>
          <w:trHeight w:val="552"/>
        </w:trPr>
        <w:tc>
          <w:tcPr>
            <w:tcW w:w="1430" w:type="pct"/>
            <w:vAlign w:val="center"/>
          </w:tcPr>
          <w:p w:rsidR="002E1043" w:rsidRPr="00044096" w:rsidRDefault="002E1043" w:rsidP="00044096">
            <w:pPr>
              <w:ind w:left="-392" w:firstLine="392"/>
              <w:jc w:val="left"/>
              <w:rPr>
                <w:sz w:val="22"/>
              </w:rPr>
            </w:pPr>
            <w:r w:rsidRPr="00044096">
              <w:rPr>
                <w:sz w:val="22"/>
              </w:rPr>
              <w:t>Flavio IMPROTA</w:t>
            </w:r>
          </w:p>
        </w:tc>
        <w:tc>
          <w:tcPr>
            <w:tcW w:w="877" w:type="pct"/>
            <w:vAlign w:val="center"/>
          </w:tcPr>
          <w:p w:rsidR="002E1043" w:rsidRPr="00044096" w:rsidRDefault="002E1043" w:rsidP="00044096">
            <w:pPr>
              <w:jc w:val="center"/>
              <w:rPr>
                <w:sz w:val="22"/>
              </w:rPr>
            </w:pPr>
            <w:r w:rsidRPr="00044096">
              <w:rPr>
                <w:sz w:val="22"/>
              </w:rPr>
              <w:t>08/06/1984</w:t>
            </w:r>
          </w:p>
        </w:tc>
        <w:tc>
          <w:tcPr>
            <w:tcW w:w="877" w:type="pct"/>
            <w:vAlign w:val="center"/>
          </w:tcPr>
          <w:p w:rsidR="002E1043" w:rsidRPr="00044096" w:rsidRDefault="00246FA1" w:rsidP="00044096">
            <w:pPr>
              <w:jc w:val="center"/>
              <w:rPr>
                <w:sz w:val="22"/>
              </w:rPr>
            </w:pPr>
            <w:proofErr w:type="spellStart"/>
            <w:r w:rsidRPr="00044096">
              <w:rPr>
                <w:sz w:val="22"/>
              </w:rPr>
              <w:t>i</w:t>
            </w:r>
            <w:r w:rsidR="002E1043" w:rsidRPr="00044096">
              <w:rPr>
                <w:sz w:val="22"/>
              </w:rPr>
              <w:t>talien</w:t>
            </w:r>
            <w:r w:rsidRPr="00044096">
              <w:rPr>
                <w:sz w:val="22"/>
              </w:rPr>
              <w:t>ne</w:t>
            </w:r>
            <w:proofErr w:type="spellEnd"/>
          </w:p>
        </w:tc>
        <w:tc>
          <w:tcPr>
            <w:tcW w:w="877" w:type="pct"/>
            <w:vAlign w:val="center"/>
          </w:tcPr>
          <w:p w:rsidR="002E1043" w:rsidRPr="00044096" w:rsidRDefault="002E1043" w:rsidP="00044096">
            <w:pPr>
              <w:jc w:val="center"/>
              <w:rPr>
                <w:sz w:val="22"/>
              </w:rPr>
            </w:pPr>
            <w:r w:rsidRPr="00044096">
              <w:rPr>
                <w:sz w:val="22"/>
              </w:rPr>
              <w:t>Naples</w:t>
            </w:r>
          </w:p>
        </w:tc>
        <w:tc>
          <w:tcPr>
            <w:tcW w:w="938" w:type="pct"/>
            <w:vAlign w:val="center"/>
          </w:tcPr>
          <w:p w:rsidR="002E1043" w:rsidRPr="00044096" w:rsidRDefault="002E1043" w:rsidP="00044096">
            <w:pPr>
              <w:jc w:val="center"/>
              <w:rPr>
                <w:sz w:val="22"/>
              </w:rPr>
            </w:pPr>
            <w:r w:rsidRPr="00044096">
              <w:rPr>
                <w:sz w:val="22"/>
              </w:rPr>
              <w:t>B. Carbone</w:t>
            </w:r>
          </w:p>
        </w:tc>
      </w:tr>
      <w:tr w:rsidR="00246FA1" w:rsidRPr="00044096" w:rsidTr="00246FA1">
        <w:trPr>
          <w:trHeight w:val="552"/>
        </w:trPr>
        <w:tc>
          <w:tcPr>
            <w:tcW w:w="1430" w:type="pct"/>
            <w:vAlign w:val="center"/>
          </w:tcPr>
          <w:p w:rsidR="002E1043" w:rsidRPr="00044096" w:rsidRDefault="002E1043" w:rsidP="00044096">
            <w:pPr>
              <w:ind w:left="-392" w:firstLine="392"/>
              <w:jc w:val="left"/>
              <w:rPr>
                <w:sz w:val="22"/>
              </w:rPr>
            </w:pPr>
            <w:r w:rsidRPr="00044096">
              <w:rPr>
                <w:sz w:val="22"/>
              </w:rPr>
              <w:t>Marco IMPROTA</w:t>
            </w:r>
          </w:p>
        </w:tc>
        <w:tc>
          <w:tcPr>
            <w:tcW w:w="877" w:type="pct"/>
            <w:vAlign w:val="center"/>
          </w:tcPr>
          <w:p w:rsidR="002E1043" w:rsidRPr="00044096" w:rsidRDefault="002E1043" w:rsidP="00044096">
            <w:pPr>
              <w:jc w:val="center"/>
              <w:rPr>
                <w:sz w:val="22"/>
              </w:rPr>
            </w:pPr>
            <w:r w:rsidRPr="00044096">
              <w:rPr>
                <w:sz w:val="22"/>
              </w:rPr>
              <w:t>20/05/1987</w:t>
            </w:r>
          </w:p>
        </w:tc>
        <w:tc>
          <w:tcPr>
            <w:tcW w:w="877" w:type="pct"/>
            <w:vAlign w:val="center"/>
          </w:tcPr>
          <w:p w:rsidR="002E1043" w:rsidRPr="00044096" w:rsidRDefault="00246FA1" w:rsidP="00044096">
            <w:pPr>
              <w:jc w:val="center"/>
              <w:rPr>
                <w:sz w:val="22"/>
              </w:rPr>
            </w:pPr>
            <w:proofErr w:type="spellStart"/>
            <w:r w:rsidRPr="00044096">
              <w:rPr>
                <w:sz w:val="22"/>
              </w:rPr>
              <w:t>i</w:t>
            </w:r>
            <w:r w:rsidR="002E1043" w:rsidRPr="00044096">
              <w:rPr>
                <w:sz w:val="22"/>
              </w:rPr>
              <w:t>talien</w:t>
            </w:r>
            <w:r w:rsidRPr="00044096">
              <w:rPr>
                <w:sz w:val="22"/>
              </w:rPr>
              <w:t>ne</w:t>
            </w:r>
            <w:proofErr w:type="spellEnd"/>
          </w:p>
        </w:tc>
        <w:tc>
          <w:tcPr>
            <w:tcW w:w="877" w:type="pct"/>
            <w:vAlign w:val="center"/>
          </w:tcPr>
          <w:p w:rsidR="002E1043" w:rsidRPr="00044096" w:rsidRDefault="002E1043" w:rsidP="00044096">
            <w:pPr>
              <w:jc w:val="center"/>
              <w:rPr>
                <w:sz w:val="22"/>
              </w:rPr>
            </w:pPr>
            <w:r w:rsidRPr="00044096">
              <w:rPr>
                <w:sz w:val="22"/>
              </w:rPr>
              <w:t>Naples</w:t>
            </w:r>
          </w:p>
        </w:tc>
        <w:tc>
          <w:tcPr>
            <w:tcW w:w="938" w:type="pct"/>
            <w:vAlign w:val="center"/>
          </w:tcPr>
          <w:p w:rsidR="002E1043" w:rsidRPr="00044096" w:rsidRDefault="002E1043" w:rsidP="00044096">
            <w:pPr>
              <w:jc w:val="center"/>
              <w:rPr>
                <w:sz w:val="22"/>
              </w:rPr>
            </w:pPr>
            <w:r w:rsidRPr="00044096">
              <w:rPr>
                <w:sz w:val="22"/>
              </w:rPr>
              <w:t>B. Carbone</w:t>
            </w:r>
          </w:p>
        </w:tc>
      </w:tr>
      <w:tr w:rsidR="00246FA1" w:rsidRPr="00044096" w:rsidTr="00246FA1">
        <w:trPr>
          <w:trHeight w:val="552"/>
        </w:trPr>
        <w:tc>
          <w:tcPr>
            <w:tcW w:w="1430" w:type="pct"/>
            <w:vAlign w:val="center"/>
          </w:tcPr>
          <w:p w:rsidR="002E1043" w:rsidRPr="00044096" w:rsidRDefault="002E1043" w:rsidP="00044096">
            <w:pPr>
              <w:ind w:left="-392" w:firstLine="392"/>
              <w:jc w:val="left"/>
              <w:rPr>
                <w:sz w:val="22"/>
              </w:rPr>
            </w:pPr>
            <w:proofErr w:type="spellStart"/>
            <w:r w:rsidRPr="00044096">
              <w:rPr>
                <w:sz w:val="22"/>
              </w:rPr>
              <w:t>Mariachiara</w:t>
            </w:r>
            <w:proofErr w:type="spellEnd"/>
            <w:r w:rsidRPr="00044096">
              <w:rPr>
                <w:sz w:val="22"/>
              </w:rPr>
              <w:t xml:space="preserve"> IMPROTA</w:t>
            </w:r>
          </w:p>
        </w:tc>
        <w:tc>
          <w:tcPr>
            <w:tcW w:w="877" w:type="pct"/>
            <w:vAlign w:val="center"/>
          </w:tcPr>
          <w:p w:rsidR="002E1043" w:rsidRPr="00044096" w:rsidRDefault="002E1043" w:rsidP="00044096">
            <w:pPr>
              <w:jc w:val="center"/>
              <w:rPr>
                <w:sz w:val="22"/>
              </w:rPr>
            </w:pPr>
            <w:r w:rsidRPr="00044096">
              <w:rPr>
                <w:sz w:val="22"/>
              </w:rPr>
              <w:t>20/04/1991</w:t>
            </w:r>
          </w:p>
        </w:tc>
        <w:tc>
          <w:tcPr>
            <w:tcW w:w="877" w:type="pct"/>
            <w:vAlign w:val="center"/>
          </w:tcPr>
          <w:p w:rsidR="002E1043" w:rsidRPr="00044096" w:rsidRDefault="002E1043" w:rsidP="00044096">
            <w:pPr>
              <w:jc w:val="center"/>
              <w:rPr>
                <w:sz w:val="22"/>
              </w:rPr>
            </w:pPr>
            <w:proofErr w:type="spellStart"/>
            <w:r w:rsidRPr="00044096">
              <w:rPr>
                <w:sz w:val="22"/>
              </w:rPr>
              <w:t>italienne</w:t>
            </w:r>
            <w:proofErr w:type="spellEnd"/>
          </w:p>
        </w:tc>
        <w:tc>
          <w:tcPr>
            <w:tcW w:w="877" w:type="pct"/>
            <w:vAlign w:val="center"/>
          </w:tcPr>
          <w:p w:rsidR="002E1043" w:rsidRPr="00044096" w:rsidRDefault="002E1043" w:rsidP="00044096">
            <w:pPr>
              <w:jc w:val="center"/>
              <w:rPr>
                <w:sz w:val="22"/>
              </w:rPr>
            </w:pPr>
            <w:r w:rsidRPr="00044096">
              <w:rPr>
                <w:sz w:val="22"/>
              </w:rPr>
              <w:t>Naples</w:t>
            </w:r>
          </w:p>
        </w:tc>
        <w:tc>
          <w:tcPr>
            <w:tcW w:w="938" w:type="pct"/>
            <w:vAlign w:val="center"/>
          </w:tcPr>
          <w:p w:rsidR="002E1043" w:rsidRPr="00044096" w:rsidRDefault="002E1043" w:rsidP="00044096">
            <w:pPr>
              <w:jc w:val="center"/>
              <w:rPr>
                <w:sz w:val="22"/>
              </w:rPr>
            </w:pPr>
            <w:r w:rsidRPr="00044096">
              <w:rPr>
                <w:sz w:val="22"/>
              </w:rPr>
              <w:t>B. Carbone</w:t>
            </w:r>
          </w:p>
        </w:tc>
      </w:tr>
    </w:tbl>
    <w:p w:rsidR="00234E8A" w:rsidRPr="00044096" w:rsidRDefault="00234E8A" w:rsidP="00044096">
      <w:pPr>
        <w:rPr>
          <w:lang w:val="fr-FR"/>
        </w:rPr>
      </w:pPr>
    </w:p>
    <w:sectPr w:rsidR="00234E8A" w:rsidRPr="00044096"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D0C" w:rsidRPr="007A6280" w:rsidRDefault="00FF5D0C" w:rsidP="006544C4">
      <w:pPr>
        <w:rPr>
          <w:lang w:val="fr-FR"/>
        </w:rPr>
      </w:pPr>
      <w:r w:rsidRPr="007A6280">
        <w:rPr>
          <w:lang w:val="fr-FR"/>
        </w:rPr>
        <w:separator/>
      </w:r>
    </w:p>
  </w:endnote>
  <w:endnote w:type="continuationSeparator" w:id="0">
    <w:p w:rsidR="00FF5D0C" w:rsidRPr="007A6280" w:rsidRDefault="00FF5D0C"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43" w:rsidRPr="00150BFA" w:rsidRDefault="002E1043" w:rsidP="0020718E">
    <w:pPr>
      <w:jc w:val="center"/>
    </w:pPr>
    <w:r>
      <w:rPr>
        <w:noProof/>
        <w:lang w:val="it-IT" w:eastAsia="it-IT"/>
      </w:rPr>
      <w:drawing>
        <wp:inline distT="0" distB="0" distL="0" distR="0" wp14:anchorId="1ACAB99A" wp14:editId="6E3F115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FF5D0C"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D0C" w:rsidRPr="007A6280" w:rsidRDefault="00FF5D0C" w:rsidP="006544C4">
      <w:pPr>
        <w:rPr>
          <w:lang w:val="fr-FR"/>
        </w:rPr>
      </w:pPr>
      <w:r w:rsidRPr="007A6280">
        <w:rPr>
          <w:lang w:val="fr-FR"/>
        </w:rPr>
        <w:separator/>
      </w:r>
    </w:p>
  </w:footnote>
  <w:footnote w:type="continuationSeparator" w:id="0">
    <w:p w:rsidR="00FF5D0C" w:rsidRPr="007A6280" w:rsidRDefault="00FF5D0C"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2E1043"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562B27">
      <w:rPr>
        <w:rStyle w:val="Numeropagina"/>
        <w:noProof/>
        <w:lang w:val="en-GB"/>
      </w:rPr>
      <w:t>2</w:t>
    </w:r>
    <w:r>
      <w:rPr>
        <w:rStyle w:val="Numeropagina"/>
        <w:lang w:val="en-GB"/>
      </w:rPr>
      <w:fldChar w:fldCharType="end"/>
    </w:r>
    <w:r w:rsidR="00334EC5" w:rsidRPr="008B0BD9">
      <w:rPr>
        <w:lang w:val="en-GB"/>
      </w:rPr>
      <w:tab/>
      <w:t xml:space="preserve">DÉCISION </w:t>
    </w:r>
    <w:r>
      <w:rPr>
        <w:lang w:val="en-GB"/>
      </w:rPr>
      <w:t>IMPROTA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334EC5" w:rsidP="006544C4">
    <w:pPr>
      <w:pStyle w:val="ECHRHeader"/>
      <w:rPr>
        <w:lang w:val="en-GB"/>
      </w:rPr>
    </w:pPr>
    <w:r w:rsidRPr="007A6280">
      <w:rPr>
        <w:lang w:val="fr-FR"/>
      </w:rPr>
      <w:tab/>
    </w:r>
    <w:r w:rsidRPr="008B0BD9">
      <w:rPr>
        <w:lang w:val="en-GB"/>
      </w:rPr>
      <w:t xml:space="preserve">DÉCISION </w:t>
    </w:r>
    <w:r w:rsidR="002E1043">
      <w:rPr>
        <w:lang w:val="en-GB"/>
      </w:rPr>
      <w:t>IMPROTA c. ITALIE</w:t>
    </w:r>
    <w:r w:rsidRPr="008B0BD9">
      <w:rPr>
        <w:lang w:val="en-GB"/>
      </w:rPr>
      <w:tab/>
    </w:r>
    <w:r w:rsidR="002E1043">
      <w:rPr>
        <w:rStyle w:val="Numeropagina"/>
        <w:lang w:val="en-GB"/>
      </w:rPr>
      <w:fldChar w:fldCharType="begin"/>
    </w:r>
    <w:r w:rsidR="002E1043">
      <w:rPr>
        <w:rStyle w:val="Numeropagina"/>
        <w:lang w:val="en-GB"/>
      </w:rPr>
      <w:instrText xml:space="preserve"> PAGE </w:instrText>
    </w:r>
    <w:r w:rsidR="002E1043">
      <w:rPr>
        <w:rStyle w:val="Numeropagina"/>
        <w:lang w:val="en-GB"/>
      </w:rPr>
      <w:fldChar w:fldCharType="separate"/>
    </w:r>
    <w:r w:rsidR="00562B27">
      <w:rPr>
        <w:rStyle w:val="Numeropagina"/>
        <w:noProof/>
        <w:lang w:val="en-GB"/>
      </w:rPr>
      <w:t>3</w:t>
    </w:r>
    <w:r w:rsidR="002E1043">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43" w:rsidRPr="00A45145" w:rsidRDefault="002E1043" w:rsidP="00A45145">
    <w:pPr>
      <w:jc w:val="center"/>
    </w:pPr>
    <w:r>
      <w:rPr>
        <w:noProof/>
        <w:lang w:val="it-IT" w:eastAsia="it-IT"/>
      </w:rPr>
      <w:drawing>
        <wp:inline distT="0" distB="0" distL="0" distR="0" wp14:anchorId="566692CA" wp14:editId="381A3D9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FF5D0C"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3"/>
    <w:docVar w:name="SignForeName" w:val="0"/>
  </w:docVars>
  <w:rsids>
    <w:rsidRoot w:val="002E1043"/>
    <w:rsid w:val="000041F8"/>
    <w:rsid w:val="000042A8"/>
    <w:rsid w:val="00004308"/>
    <w:rsid w:val="00005BF0"/>
    <w:rsid w:val="00007154"/>
    <w:rsid w:val="000103AE"/>
    <w:rsid w:val="00011D69"/>
    <w:rsid w:val="00012AD3"/>
    <w:rsid w:val="00015C2D"/>
    <w:rsid w:val="00015F00"/>
    <w:rsid w:val="00022C1D"/>
    <w:rsid w:val="000279B8"/>
    <w:rsid w:val="00034987"/>
    <w:rsid w:val="00044096"/>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650"/>
    <w:rsid w:val="000E1DC5"/>
    <w:rsid w:val="000E223F"/>
    <w:rsid w:val="000E7D45"/>
    <w:rsid w:val="000F7851"/>
    <w:rsid w:val="00104E23"/>
    <w:rsid w:val="00111B0C"/>
    <w:rsid w:val="00120D6C"/>
    <w:rsid w:val="001257EC"/>
    <w:rsid w:val="00133D33"/>
    <w:rsid w:val="00134D64"/>
    <w:rsid w:val="00135A30"/>
    <w:rsid w:val="00135D22"/>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46FA1"/>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E1043"/>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62B27"/>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0E7E"/>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E73"/>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670C"/>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571CE"/>
    <w:rsid w:val="00F64EF1"/>
    <w:rsid w:val="00F8765F"/>
    <w:rsid w:val="00F90767"/>
    <w:rsid w:val="00F9130D"/>
    <w:rsid w:val="00F95051"/>
    <w:rsid w:val="00FA685B"/>
    <w:rsid w:val="00FB0C01"/>
    <w:rsid w:val="00FC18F2"/>
    <w:rsid w:val="00FC39E5"/>
    <w:rsid w:val="00FC3A78"/>
    <w:rsid w:val="00FD1005"/>
    <w:rsid w:val="00FD690C"/>
    <w:rsid w:val="00FD6C75"/>
    <w:rsid w:val="00FE71B3"/>
    <w:rsid w:val="00FF42C5"/>
    <w:rsid w:val="00FF5D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E1670C"/>
    <w:pPr>
      <w:jc w:val="both"/>
    </w:pPr>
    <w:rPr>
      <w:rFonts w:eastAsiaTheme="minorEastAsia"/>
      <w:sz w:val="24"/>
    </w:rPr>
  </w:style>
  <w:style w:type="paragraph" w:styleId="Titolo1">
    <w:name w:val="heading 1"/>
    <w:basedOn w:val="Normale"/>
    <w:next w:val="Normale"/>
    <w:link w:val="Titolo1Carattere"/>
    <w:uiPriority w:val="99"/>
    <w:semiHidden/>
    <w:rsid w:val="00E1670C"/>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E1670C"/>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E1670C"/>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E1670C"/>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E1670C"/>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E1670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E1670C"/>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E1670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E1670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1670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670C"/>
    <w:rPr>
      <w:rFonts w:ascii="Tahoma" w:eastAsiaTheme="minorEastAsia" w:hAnsi="Tahoma" w:cs="Tahoma"/>
      <w:sz w:val="16"/>
      <w:szCs w:val="16"/>
    </w:rPr>
  </w:style>
  <w:style w:type="character" w:styleId="Titolodellibro">
    <w:name w:val="Book Title"/>
    <w:uiPriority w:val="99"/>
    <w:semiHidden/>
    <w:qFormat/>
    <w:rsid w:val="00E1670C"/>
    <w:rPr>
      <w:i/>
      <w:iCs/>
      <w:smallCaps/>
      <w:spacing w:val="5"/>
    </w:rPr>
  </w:style>
  <w:style w:type="paragraph" w:customStyle="1" w:styleId="ECHRHeader">
    <w:name w:val="ECHR_Header"/>
    <w:aliases w:val="Ju_Header"/>
    <w:basedOn w:val="Intestazione"/>
    <w:uiPriority w:val="4"/>
    <w:qFormat/>
    <w:rsid w:val="00E1670C"/>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E1670C"/>
    <w:rPr>
      <w:color w:val="00B050"/>
    </w:rPr>
  </w:style>
  <w:style w:type="character" w:styleId="Enfasigrassetto">
    <w:name w:val="Strong"/>
    <w:uiPriority w:val="99"/>
    <w:semiHidden/>
    <w:qFormat/>
    <w:rsid w:val="00E1670C"/>
    <w:rPr>
      <w:b/>
      <w:bCs/>
    </w:rPr>
  </w:style>
  <w:style w:type="paragraph" w:styleId="Nessunaspaziatura">
    <w:name w:val="No Spacing"/>
    <w:basedOn w:val="Normale"/>
    <w:link w:val="NessunaspaziaturaCarattere"/>
    <w:semiHidden/>
    <w:qFormat/>
    <w:rsid w:val="00E1670C"/>
    <w:rPr>
      <w:sz w:val="22"/>
    </w:rPr>
  </w:style>
  <w:style w:type="character" w:customStyle="1" w:styleId="NessunaspaziaturaCarattere">
    <w:name w:val="Nessuna spaziatura Carattere"/>
    <w:basedOn w:val="Carpredefinitoparagrafo"/>
    <w:link w:val="Nessunaspaziatura"/>
    <w:semiHidden/>
    <w:rsid w:val="00E1670C"/>
    <w:rPr>
      <w:rFonts w:eastAsiaTheme="minorEastAsia"/>
    </w:rPr>
  </w:style>
  <w:style w:type="paragraph" w:customStyle="1" w:styleId="JuAppQuestion">
    <w:name w:val="Ju_App_Question"/>
    <w:basedOn w:val="Normale"/>
    <w:uiPriority w:val="5"/>
    <w:qFormat/>
    <w:rsid w:val="00E1670C"/>
    <w:pPr>
      <w:numPr>
        <w:numId w:val="29"/>
      </w:numPr>
      <w:jc w:val="left"/>
    </w:pPr>
    <w:rPr>
      <w:b/>
    </w:rPr>
  </w:style>
  <w:style w:type="paragraph" w:customStyle="1" w:styleId="ECHRParaQuote">
    <w:name w:val="ECHR_Para_Quote"/>
    <w:aliases w:val="Ju_Quot"/>
    <w:basedOn w:val="Normale"/>
    <w:uiPriority w:val="14"/>
    <w:qFormat/>
    <w:rsid w:val="00E1670C"/>
    <w:pPr>
      <w:spacing w:before="120" w:after="120"/>
      <w:ind w:left="425" w:firstLine="142"/>
    </w:pPr>
    <w:rPr>
      <w:sz w:val="20"/>
    </w:rPr>
  </w:style>
  <w:style w:type="paragraph" w:customStyle="1" w:styleId="JuCase">
    <w:name w:val="Ju_Case"/>
    <w:basedOn w:val="Normale"/>
    <w:next w:val="ECHRPara"/>
    <w:uiPriority w:val="10"/>
    <w:semiHidden/>
    <w:rsid w:val="00E1670C"/>
    <w:pPr>
      <w:ind w:firstLine="284"/>
    </w:pPr>
    <w:rPr>
      <w:b/>
    </w:rPr>
  </w:style>
  <w:style w:type="paragraph" w:customStyle="1" w:styleId="JuCourt">
    <w:name w:val="Ju_Court"/>
    <w:basedOn w:val="Normale"/>
    <w:next w:val="Normale"/>
    <w:uiPriority w:val="16"/>
    <w:qFormat/>
    <w:rsid w:val="00E1670C"/>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E1670C"/>
    <w:pPr>
      <w:tabs>
        <w:tab w:val="clear" w:pos="3686"/>
        <w:tab w:val="clear" w:pos="7371"/>
        <w:tab w:val="center" w:pos="6146"/>
        <w:tab w:val="right" w:pos="12293"/>
      </w:tabs>
    </w:pPr>
  </w:style>
  <w:style w:type="paragraph" w:customStyle="1" w:styleId="JuInitialled">
    <w:name w:val="Ju_Initialled"/>
    <w:basedOn w:val="Normale"/>
    <w:uiPriority w:val="31"/>
    <w:qFormat/>
    <w:rsid w:val="00E1670C"/>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E1670C"/>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E1670C"/>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E1670C"/>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E1670C"/>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E1670C"/>
    <w:pPr>
      <w:ind w:left="340" w:hanging="340"/>
    </w:pPr>
  </w:style>
  <w:style w:type="paragraph" w:styleId="Titolo">
    <w:name w:val="Title"/>
    <w:basedOn w:val="Normale"/>
    <w:next w:val="Normale"/>
    <w:link w:val="TitoloCarattere"/>
    <w:uiPriority w:val="99"/>
    <w:semiHidden/>
    <w:qFormat/>
    <w:rsid w:val="00E1670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E1670C"/>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E1670C"/>
    <w:pPr>
      <w:ind w:left="346" w:firstLine="0"/>
    </w:pPr>
  </w:style>
  <w:style w:type="paragraph" w:customStyle="1" w:styleId="JuListi">
    <w:name w:val="Ju_List_i"/>
    <w:basedOn w:val="Normale"/>
    <w:next w:val="JuLista"/>
    <w:uiPriority w:val="28"/>
    <w:qFormat/>
    <w:rsid w:val="00E1670C"/>
    <w:pPr>
      <w:ind w:left="794"/>
    </w:pPr>
  </w:style>
  <w:style w:type="character" w:customStyle="1" w:styleId="JUNAMES">
    <w:name w:val="JU_NAMES"/>
    <w:uiPriority w:val="17"/>
    <w:qFormat/>
    <w:rsid w:val="00E1670C"/>
    <w:rPr>
      <w:caps w:val="0"/>
      <w:smallCaps/>
    </w:rPr>
  </w:style>
  <w:style w:type="paragraph" w:customStyle="1" w:styleId="JuParaSub">
    <w:name w:val="Ju_Para_Sub"/>
    <w:basedOn w:val="ECHRPara"/>
    <w:uiPriority w:val="13"/>
    <w:qFormat/>
    <w:rsid w:val="00E1670C"/>
    <w:pPr>
      <w:ind w:left="284"/>
    </w:pPr>
  </w:style>
  <w:style w:type="paragraph" w:customStyle="1" w:styleId="JuQuotSub">
    <w:name w:val="Ju_Quot_Sub"/>
    <w:basedOn w:val="ECHRParaQuote"/>
    <w:uiPriority w:val="15"/>
    <w:qFormat/>
    <w:rsid w:val="00E1670C"/>
    <w:pPr>
      <w:ind w:left="567"/>
    </w:pPr>
  </w:style>
  <w:style w:type="paragraph" w:customStyle="1" w:styleId="ECHRHeading1">
    <w:name w:val="ECHR_Heading_1"/>
    <w:aliases w:val="Ju_H_I_Roman"/>
    <w:basedOn w:val="Titolo1"/>
    <w:next w:val="ECHRPara"/>
    <w:uiPriority w:val="19"/>
    <w:qFormat/>
    <w:rsid w:val="00E1670C"/>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E1670C"/>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E1670C"/>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E1670C"/>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E1670C"/>
    <w:rPr>
      <w:sz w:val="24"/>
    </w:rPr>
  </w:style>
  <w:style w:type="character" w:customStyle="1" w:styleId="Titolo1Carattere">
    <w:name w:val="Titolo 1 Carattere"/>
    <w:basedOn w:val="Carpredefinitoparagrafo"/>
    <w:link w:val="Titolo1"/>
    <w:uiPriority w:val="99"/>
    <w:semiHidden/>
    <w:rsid w:val="00E1670C"/>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E1670C"/>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E1670C"/>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E1670C"/>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E1670C"/>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E1670C"/>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E1670C"/>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E1670C"/>
    <w:pPr>
      <w:keepNext/>
      <w:keepLines/>
      <w:spacing w:before="240"/>
      <w:ind w:firstLine="284"/>
    </w:pPr>
  </w:style>
  <w:style w:type="paragraph" w:customStyle="1" w:styleId="DecList">
    <w:name w:val="Dec_List"/>
    <w:basedOn w:val="Normale"/>
    <w:uiPriority w:val="9"/>
    <w:qFormat/>
    <w:rsid w:val="00E1670C"/>
    <w:pPr>
      <w:spacing w:before="240"/>
      <w:ind w:left="284"/>
    </w:pPr>
  </w:style>
  <w:style w:type="character" w:customStyle="1" w:styleId="Titolo4Carattere">
    <w:name w:val="Titolo 4 Carattere"/>
    <w:basedOn w:val="Carpredefinitoparagrafo"/>
    <w:link w:val="Titolo4"/>
    <w:uiPriority w:val="99"/>
    <w:semiHidden/>
    <w:rsid w:val="00E1670C"/>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E1670C"/>
    <w:pPr>
      <w:tabs>
        <w:tab w:val="left" w:pos="567"/>
        <w:tab w:val="left" w:pos="1134"/>
      </w:tabs>
      <w:jc w:val="left"/>
    </w:pPr>
  </w:style>
  <w:style w:type="character" w:customStyle="1" w:styleId="Titolo5Carattere">
    <w:name w:val="Titolo 5 Carattere"/>
    <w:basedOn w:val="Carpredefinitoparagrafo"/>
    <w:link w:val="Titolo5"/>
    <w:uiPriority w:val="99"/>
    <w:semiHidden/>
    <w:rsid w:val="00E1670C"/>
    <w:rPr>
      <w:rFonts w:asciiTheme="majorHAnsi" w:eastAsiaTheme="majorEastAsia" w:hAnsiTheme="majorHAnsi" w:cstheme="majorBidi"/>
      <w:b/>
      <w:bCs/>
      <w:color w:val="808080"/>
    </w:rPr>
  </w:style>
  <w:style w:type="paragraph" w:customStyle="1" w:styleId="OpiH1">
    <w:name w:val="Opi_H_1"/>
    <w:basedOn w:val="ECHRHeading2"/>
    <w:uiPriority w:val="42"/>
    <w:semiHidden/>
    <w:qFormat/>
    <w:rsid w:val="00E1670C"/>
    <w:pPr>
      <w:ind w:left="635" w:hanging="357"/>
      <w:outlineLvl w:val="2"/>
    </w:pPr>
  </w:style>
  <w:style w:type="paragraph" w:customStyle="1" w:styleId="OpiHa">
    <w:name w:val="Opi_H_a"/>
    <w:basedOn w:val="ECHRHeading3"/>
    <w:uiPriority w:val="43"/>
    <w:semiHidden/>
    <w:qFormat/>
    <w:rsid w:val="00E1670C"/>
    <w:pPr>
      <w:ind w:left="833" w:hanging="357"/>
      <w:outlineLvl w:val="3"/>
    </w:pPr>
    <w:rPr>
      <w:b/>
      <w:i w:val="0"/>
      <w:sz w:val="20"/>
    </w:rPr>
  </w:style>
  <w:style w:type="character" w:styleId="Enfasidelicata">
    <w:name w:val="Subtle Emphasis"/>
    <w:uiPriority w:val="99"/>
    <w:semiHidden/>
    <w:qFormat/>
    <w:rsid w:val="00E1670C"/>
    <w:rPr>
      <w:i/>
      <w:iCs/>
    </w:rPr>
  </w:style>
  <w:style w:type="paragraph" w:customStyle="1" w:styleId="OpiHA0">
    <w:name w:val="Opi_H_A"/>
    <w:basedOn w:val="ECHRHeading1"/>
    <w:next w:val="OpiPara"/>
    <w:uiPriority w:val="41"/>
    <w:semiHidden/>
    <w:qFormat/>
    <w:rsid w:val="00E1670C"/>
    <w:pPr>
      <w:tabs>
        <w:tab w:val="clear" w:pos="357"/>
      </w:tabs>
      <w:outlineLvl w:val="1"/>
    </w:pPr>
    <w:rPr>
      <w:b/>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semiHidden/>
    <w:qFormat/>
    <w:rsid w:val="00E1670C"/>
    <w:pPr>
      <w:ind w:left="1037" w:hanging="357"/>
      <w:outlineLvl w:val="4"/>
    </w:pPr>
    <w:rPr>
      <w:b w:val="0"/>
      <w:i/>
    </w:rPr>
  </w:style>
  <w:style w:type="paragraph" w:customStyle="1" w:styleId="OpiPara">
    <w:name w:val="Opi_Para"/>
    <w:basedOn w:val="ECHRPara"/>
    <w:uiPriority w:val="46"/>
    <w:semiHidden/>
    <w:qFormat/>
    <w:rsid w:val="00E1670C"/>
  </w:style>
  <w:style w:type="paragraph" w:customStyle="1" w:styleId="ECHRTitleCentre2">
    <w:name w:val="ECHR_Title_Centre_2"/>
    <w:aliases w:val="Dec_H_Case"/>
    <w:basedOn w:val="Normale"/>
    <w:next w:val="ECHRPara"/>
    <w:uiPriority w:val="8"/>
    <w:qFormat/>
    <w:rsid w:val="00E1670C"/>
    <w:pPr>
      <w:spacing w:after="240"/>
      <w:jc w:val="center"/>
      <w:outlineLvl w:val="0"/>
    </w:pPr>
    <w:rPr>
      <w:rFonts w:asciiTheme="majorHAnsi" w:hAnsiTheme="majorHAnsi"/>
    </w:rPr>
  </w:style>
  <w:style w:type="character" w:styleId="Enfasicorsivo">
    <w:name w:val="Emphasis"/>
    <w:uiPriority w:val="99"/>
    <w:semiHidden/>
    <w:qFormat/>
    <w:rsid w:val="00E1670C"/>
    <w:rPr>
      <w:b/>
      <w:bCs/>
      <w:i/>
      <w:iCs/>
      <w:spacing w:val="10"/>
      <w:bdr w:val="none" w:sz="0" w:space="0" w:color="auto"/>
      <w:shd w:val="clear" w:color="auto" w:fill="auto"/>
    </w:rPr>
  </w:style>
  <w:style w:type="paragraph" w:styleId="Pidipagina">
    <w:name w:val="footer"/>
    <w:basedOn w:val="Normale"/>
    <w:link w:val="PidipaginaCarattere"/>
    <w:uiPriority w:val="57"/>
    <w:semiHidden/>
    <w:rsid w:val="00E1670C"/>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E1670C"/>
    <w:rPr>
      <w:sz w:val="24"/>
    </w:rPr>
  </w:style>
  <w:style w:type="character" w:styleId="Rimandonotaapidipagina">
    <w:name w:val="footnote reference"/>
    <w:basedOn w:val="Carpredefinitoparagrafo"/>
    <w:uiPriority w:val="99"/>
    <w:semiHidden/>
    <w:rsid w:val="00E1670C"/>
    <w:rPr>
      <w:vertAlign w:val="superscript"/>
    </w:rPr>
  </w:style>
  <w:style w:type="paragraph" w:styleId="Testonotaapidipagina">
    <w:name w:val="footnote text"/>
    <w:basedOn w:val="Normale"/>
    <w:link w:val="TestonotaapidipaginaCarattere"/>
    <w:uiPriority w:val="99"/>
    <w:semiHidden/>
    <w:rsid w:val="00E1670C"/>
    <w:rPr>
      <w:sz w:val="20"/>
      <w:szCs w:val="20"/>
    </w:rPr>
  </w:style>
  <w:style w:type="character" w:customStyle="1" w:styleId="TestonotaapidipaginaCarattere">
    <w:name w:val="Testo nota a piè di pagina Carattere"/>
    <w:basedOn w:val="Carpredefinitoparagrafo"/>
    <w:link w:val="Testonotaapidipagina"/>
    <w:uiPriority w:val="99"/>
    <w:semiHidden/>
    <w:rsid w:val="00E1670C"/>
    <w:rPr>
      <w:rFonts w:eastAsiaTheme="minorEastAsia"/>
      <w:sz w:val="20"/>
      <w:szCs w:val="20"/>
    </w:rPr>
  </w:style>
  <w:style w:type="character" w:customStyle="1" w:styleId="Titolo6Carattere">
    <w:name w:val="Titolo 6 Carattere"/>
    <w:basedOn w:val="Carpredefinitoparagrafo"/>
    <w:link w:val="Titolo6"/>
    <w:uiPriority w:val="99"/>
    <w:semiHidden/>
    <w:rsid w:val="00E1670C"/>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E1670C"/>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1670C"/>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1670C"/>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E1670C"/>
    <w:rPr>
      <w:color w:val="0072BC" w:themeColor="hyperlink"/>
      <w:u w:val="single"/>
    </w:rPr>
  </w:style>
  <w:style w:type="character" w:styleId="Enfasiintensa">
    <w:name w:val="Intense Emphasis"/>
    <w:uiPriority w:val="99"/>
    <w:semiHidden/>
    <w:qFormat/>
    <w:rsid w:val="00E1670C"/>
    <w:rPr>
      <w:b/>
      <w:bCs/>
    </w:rPr>
  </w:style>
  <w:style w:type="paragraph" w:styleId="Citazioneintensa">
    <w:name w:val="Intense Quote"/>
    <w:basedOn w:val="Normale"/>
    <w:next w:val="Normale"/>
    <w:link w:val="CitazioneintensaCarattere"/>
    <w:uiPriority w:val="99"/>
    <w:semiHidden/>
    <w:qFormat/>
    <w:rsid w:val="00E1670C"/>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E1670C"/>
    <w:rPr>
      <w:rFonts w:eastAsiaTheme="minorEastAsia"/>
      <w:b/>
      <w:bCs/>
      <w:i/>
      <w:iCs/>
      <w:lang w:bidi="en-US"/>
    </w:rPr>
  </w:style>
  <w:style w:type="character" w:styleId="Riferimentointenso">
    <w:name w:val="Intense Reference"/>
    <w:uiPriority w:val="99"/>
    <w:semiHidden/>
    <w:qFormat/>
    <w:rsid w:val="00E1670C"/>
    <w:rPr>
      <w:smallCaps/>
      <w:spacing w:val="5"/>
      <w:u w:val="single"/>
    </w:rPr>
  </w:style>
  <w:style w:type="paragraph" w:styleId="Paragrafoelenco">
    <w:name w:val="List Paragraph"/>
    <w:basedOn w:val="Normale"/>
    <w:uiPriority w:val="99"/>
    <w:semiHidden/>
    <w:qFormat/>
    <w:rsid w:val="00E1670C"/>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1670C"/>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E1670C"/>
    <w:rPr>
      <w:rFonts w:eastAsiaTheme="minorEastAsia"/>
      <w:i/>
      <w:iCs/>
      <w:lang w:bidi="en-US"/>
    </w:rPr>
  </w:style>
  <w:style w:type="character" w:styleId="Riferimentodelicato">
    <w:name w:val="Subtle Reference"/>
    <w:uiPriority w:val="99"/>
    <w:semiHidden/>
    <w:qFormat/>
    <w:rsid w:val="00E1670C"/>
    <w:rPr>
      <w:smallCaps/>
    </w:rPr>
  </w:style>
  <w:style w:type="table" w:styleId="Grigliatabella">
    <w:name w:val="Table Grid"/>
    <w:basedOn w:val="Tabellanormale"/>
    <w:uiPriority w:val="59"/>
    <w:semiHidden/>
    <w:rsid w:val="00E1670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1670C"/>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E1670C"/>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E1670C"/>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E1670C"/>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E1670C"/>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E1670C"/>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E1670C"/>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Sub">
    <w:name w:val="Opi_Para_Sub"/>
    <w:basedOn w:val="JuParaSub"/>
    <w:uiPriority w:val="47"/>
    <w:semiHidden/>
    <w:qFormat/>
    <w:rsid w:val="00E1670C"/>
  </w:style>
  <w:style w:type="paragraph" w:customStyle="1" w:styleId="OpiQuot">
    <w:name w:val="Opi_Quot"/>
    <w:basedOn w:val="ECHRParaQuote"/>
    <w:uiPriority w:val="48"/>
    <w:semiHidden/>
    <w:qFormat/>
    <w:rsid w:val="00E1670C"/>
  </w:style>
  <w:style w:type="paragraph" w:styleId="Sottotitolo">
    <w:name w:val="Subtitle"/>
    <w:basedOn w:val="Normale"/>
    <w:next w:val="Normale"/>
    <w:link w:val="SottotitoloCarattere"/>
    <w:uiPriority w:val="99"/>
    <w:semiHidden/>
    <w:qFormat/>
    <w:rsid w:val="00E1670C"/>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E1670C"/>
    <w:pPr>
      <w:ind w:firstLine="284"/>
    </w:pPr>
  </w:style>
  <w:style w:type="character" w:customStyle="1" w:styleId="SottotitoloCarattere">
    <w:name w:val="Sottotitolo Carattere"/>
    <w:basedOn w:val="Carpredefinitoparagrafo"/>
    <w:link w:val="Sottotitolo"/>
    <w:uiPriority w:val="99"/>
    <w:semiHidden/>
    <w:rsid w:val="00E1670C"/>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E1670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E1670C"/>
    <w:pPr>
      <w:tabs>
        <w:tab w:val="center" w:pos="851"/>
        <w:tab w:val="center" w:pos="6407"/>
      </w:tabs>
      <w:spacing w:before="720"/>
      <w:jc w:val="left"/>
    </w:pPr>
  </w:style>
  <w:style w:type="paragraph" w:customStyle="1" w:styleId="JuTitle">
    <w:name w:val="Ju_Title"/>
    <w:basedOn w:val="Normale"/>
    <w:next w:val="ECHRPara"/>
    <w:uiPriority w:val="3"/>
    <w:qFormat/>
    <w:rsid w:val="00E1670C"/>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E1670C"/>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E1670C"/>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1670C"/>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E1670C"/>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QuotSub">
    <w:name w:val="Opi_Quot_Sub"/>
    <w:basedOn w:val="JuQuotSub"/>
    <w:uiPriority w:val="49"/>
    <w:semiHidden/>
    <w:qFormat/>
    <w:rsid w:val="00E1670C"/>
  </w:style>
  <w:style w:type="paragraph" w:customStyle="1" w:styleId="ECHRFooter">
    <w:name w:val="ECHR_Footer"/>
    <w:aliases w:val="Footer_ECHR"/>
    <w:basedOn w:val="Pidipagina"/>
    <w:uiPriority w:val="57"/>
    <w:semiHidden/>
    <w:rsid w:val="00E1670C"/>
    <w:pPr>
      <w:jc w:val="left"/>
    </w:pPr>
    <w:rPr>
      <w:sz w:val="8"/>
    </w:rPr>
  </w:style>
  <w:style w:type="paragraph" w:customStyle="1" w:styleId="ECHRFooterLine">
    <w:name w:val="ECHR_Footer_Line"/>
    <w:aliases w:val="Footer_Line"/>
    <w:basedOn w:val="Normale"/>
    <w:next w:val="ECHRFooter"/>
    <w:uiPriority w:val="57"/>
    <w:semiHidden/>
    <w:rsid w:val="00E1670C"/>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e"/>
    <w:next w:val="OpiPara"/>
    <w:uiPriority w:val="40"/>
    <w:semiHidden/>
    <w:qFormat/>
    <w:rsid w:val="00E1670C"/>
    <w:pPr>
      <w:jc w:val="center"/>
      <w:outlineLvl w:val="0"/>
    </w:pPr>
    <w:rPr>
      <w:i/>
    </w:rPr>
  </w:style>
  <w:style w:type="character" w:customStyle="1" w:styleId="ECHRParaChar">
    <w:name w:val="ECHR_Para Char"/>
    <w:aliases w:val="Ju_Para Char"/>
    <w:basedOn w:val="Carpredefinitoparagrafo"/>
    <w:link w:val="ECHRPara"/>
    <w:uiPriority w:val="12"/>
    <w:rsid w:val="002E1043"/>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4953-9446-4FC9-BFDF-18B29E218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8B3266-217E-4DE4-97FA-103EFC316991}">
  <ds:schemaRefs>
    <ds:schemaRef ds:uri="http://schemas.microsoft.com/sharepoint/v3/contenttype/forms"/>
  </ds:schemaRefs>
</ds:datastoreItem>
</file>

<file path=customXml/itemProps3.xml><?xml version="1.0" encoding="utf-8"?>
<ds:datastoreItem xmlns:ds="http://schemas.openxmlformats.org/officeDocument/2006/customXml" ds:itemID="{E2C4D7B7-DD73-4FBA-8448-27296A754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0029C2-3D75-4884-ADDF-F9555C4D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7070</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2017-03-30T11:35:00Z</dcterms:created>
  <dcterms:modified xsi:type="dcterms:W3CDTF">2017-03-30T11:35:00Z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